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33F4" w14:textId="77777777" w:rsidR="007928C4" w:rsidRPr="002C3260" w:rsidRDefault="005D27D4" w:rsidP="00E92523">
      <w:pPr>
        <w:bidi w:val="0"/>
        <w:spacing w:before="120" w:after="0" w:line="360" w:lineRule="auto"/>
        <w:jc w:val="center"/>
        <w:rPr>
          <w:rFonts w:ascii="Georgia" w:hAnsi="Georgia" w:cstheme="majorBidi"/>
          <w:b/>
          <w:bCs/>
          <w:color w:val="ED7D31" w:themeColor="accent2"/>
          <w:sz w:val="28"/>
          <w:szCs w:val="28"/>
        </w:rPr>
      </w:pPr>
      <w:r w:rsidRPr="002C3260">
        <w:rPr>
          <w:rFonts w:ascii="Georgia" w:hAnsi="Georgia" w:cstheme="majorBidi"/>
          <w:b/>
          <w:bCs/>
          <w:color w:val="ED7D31" w:themeColor="accent2"/>
          <w:sz w:val="28"/>
          <w:szCs w:val="28"/>
        </w:rPr>
        <w:t>Religion and Material Culture</w:t>
      </w:r>
    </w:p>
    <w:p w14:paraId="6BBCD55D" w14:textId="1265CF7A" w:rsidR="007C4552" w:rsidRPr="00407CA0" w:rsidRDefault="005D27D4" w:rsidP="008252C0">
      <w:pPr>
        <w:bidi w:val="0"/>
        <w:spacing w:before="120" w:after="0" w:line="360" w:lineRule="auto"/>
        <w:jc w:val="center"/>
        <w:rPr>
          <w:rFonts w:ascii="Georgia" w:hAnsi="Georgia"/>
          <w:b/>
          <w:bCs/>
        </w:rPr>
      </w:pPr>
      <w:r w:rsidRPr="00407CA0">
        <w:rPr>
          <w:rFonts w:ascii="Georgia" w:hAnsi="Georgia"/>
        </w:rPr>
        <w:t xml:space="preserve">The </w:t>
      </w:r>
      <w:hyperlink r:id="rId11" w:history="1">
        <w:r w:rsidRPr="00873BE8">
          <w:rPr>
            <w:rStyle w:val="Hyperlink"/>
            <w:rFonts w:ascii="Georgia" w:hAnsi="Georgia"/>
          </w:rPr>
          <w:t>Center for the Study of Conversion and Inter-Religious Encounters</w:t>
        </w:r>
      </w:hyperlink>
      <w:r w:rsidRPr="00407CA0">
        <w:rPr>
          <w:rFonts w:ascii="Georgia" w:hAnsi="Georgia"/>
        </w:rPr>
        <w:t xml:space="preserve"> (</w:t>
      </w:r>
      <w:proofErr w:type="spellStart"/>
      <w:r w:rsidRPr="00407CA0">
        <w:rPr>
          <w:rFonts w:ascii="Georgia" w:hAnsi="Georgia"/>
        </w:rPr>
        <w:t>CSoC</w:t>
      </w:r>
      <w:proofErr w:type="spellEnd"/>
      <w:r w:rsidRPr="00407CA0">
        <w:rPr>
          <w:rFonts w:ascii="Georgia" w:hAnsi="Georgia"/>
        </w:rPr>
        <w:t>)</w:t>
      </w:r>
    </w:p>
    <w:p w14:paraId="46524B25" w14:textId="77777777" w:rsidR="00CE14B7" w:rsidRDefault="007C4552" w:rsidP="00C75F01">
      <w:pPr>
        <w:bidi w:val="0"/>
        <w:spacing w:before="120" w:after="0" w:line="360" w:lineRule="auto"/>
        <w:jc w:val="both"/>
        <w:rPr>
          <w:rFonts w:ascii="Georgia" w:hAnsi="Georgia"/>
        </w:rPr>
      </w:pPr>
      <w:proofErr w:type="spellStart"/>
      <w:r w:rsidRPr="00407CA0">
        <w:rPr>
          <w:rFonts w:ascii="Georgia" w:hAnsi="Georgia"/>
        </w:rPr>
        <w:t>CSoC</w:t>
      </w:r>
      <w:proofErr w:type="spellEnd"/>
      <w:r w:rsidRPr="00407CA0">
        <w:rPr>
          <w:rFonts w:ascii="Georgia" w:hAnsi="Georgia"/>
        </w:rPr>
        <w:t xml:space="preserve"> was founded </w:t>
      </w:r>
      <w:r w:rsidR="00CE14B7" w:rsidRPr="00407CA0">
        <w:rPr>
          <w:rFonts w:ascii="Georgia" w:hAnsi="Georgia"/>
        </w:rPr>
        <w:t>by Prof. Haim Ham</w:t>
      </w:r>
      <w:r w:rsidR="00CE14B7">
        <w:rPr>
          <w:rFonts w:ascii="Georgia" w:hAnsi="Georgia"/>
        </w:rPr>
        <w:t>e</w:t>
      </w:r>
      <w:r w:rsidR="00CE14B7" w:rsidRPr="00407CA0">
        <w:rPr>
          <w:rFonts w:ascii="Georgia" w:hAnsi="Georgia"/>
        </w:rPr>
        <w:t>s</w:t>
      </w:r>
      <w:r w:rsidR="00CE14B7">
        <w:rPr>
          <w:rFonts w:ascii="Georgia" w:hAnsi="Georgia"/>
        </w:rPr>
        <w:t xml:space="preserve"> </w:t>
      </w:r>
      <w:r w:rsidR="00CE14B7" w:rsidRPr="00407CA0">
        <w:rPr>
          <w:rFonts w:ascii="Georgia" w:hAnsi="Georgia"/>
        </w:rPr>
        <w:t>in 2012</w:t>
      </w:r>
      <w:r w:rsidR="00CE14B7">
        <w:rPr>
          <w:rFonts w:ascii="Georgia" w:hAnsi="Georgia"/>
        </w:rPr>
        <w:t xml:space="preserve"> a</w:t>
      </w:r>
      <w:r w:rsidR="00CE14B7" w:rsidRPr="00407CA0">
        <w:rPr>
          <w:rFonts w:ascii="Georgia" w:hAnsi="Georgia"/>
        </w:rPr>
        <w:t>s an inter-university research center</w:t>
      </w:r>
      <w:r w:rsidR="00CE14B7">
        <w:rPr>
          <w:rFonts w:ascii="Georgia" w:hAnsi="Georgia"/>
        </w:rPr>
        <w:t>,</w:t>
      </w:r>
      <w:r w:rsidRPr="00407CA0">
        <w:rPr>
          <w:rFonts w:ascii="Georgia" w:hAnsi="Georgia"/>
        </w:rPr>
        <w:t xml:space="preserve"> </w:t>
      </w:r>
      <w:r w:rsidR="00CE14B7">
        <w:rPr>
          <w:rFonts w:ascii="Georgia" w:hAnsi="Georgia"/>
        </w:rPr>
        <w:t xml:space="preserve">supported by </w:t>
      </w:r>
      <w:r w:rsidRPr="00407CA0">
        <w:rPr>
          <w:rFonts w:ascii="Georgia" w:hAnsi="Georgia"/>
        </w:rPr>
        <w:t xml:space="preserve">the Israeli Science Foundation (ISF) as an I-CORE project. </w:t>
      </w:r>
      <w:r w:rsidR="00CE14B7">
        <w:rPr>
          <w:rFonts w:ascii="Georgia" w:hAnsi="Georgia"/>
        </w:rPr>
        <w:t xml:space="preserve">The Center </w:t>
      </w:r>
      <w:r w:rsidRPr="00407CA0">
        <w:rPr>
          <w:rFonts w:ascii="Georgia" w:hAnsi="Georgia"/>
        </w:rPr>
        <w:t xml:space="preserve">brought together scholars from different disciplines, </w:t>
      </w:r>
      <w:r w:rsidR="00CE14B7">
        <w:rPr>
          <w:rFonts w:ascii="Georgia" w:hAnsi="Georgia"/>
        </w:rPr>
        <w:t xml:space="preserve">and most of its work </w:t>
      </w:r>
      <w:r w:rsidRPr="00407CA0">
        <w:rPr>
          <w:rFonts w:ascii="Georgia" w:hAnsi="Georgia"/>
        </w:rPr>
        <w:t xml:space="preserve">revolved around the study of religious conversion and the interactions between members of the Abrahamic faiths during the </w:t>
      </w:r>
      <w:proofErr w:type="gramStart"/>
      <w:r w:rsidRPr="00407CA0">
        <w:rPr>
          <w:rFonts w:ascii="Georgia" w:hAnsi="Georgia"/>
        </w:rPr>
        <w:t>middle ages</w:t>
      </w:r>
      <w:proofErr w:type="gramEnd"/>
      <w:r w:rsidRPr="00407CA0">
        <w:rPr>
          <w:rFonts w:ascii="Georgia" w:hAnsi="Georgia"/>
        </w:rPr>
        <w:t xml:space="preserve"> and the early modern </w:t>
      </w:r>
      <w:r w:rsidR="00CE14B7">
        <w:rPr>
          <w:rFonts w:ascii="Georgia" w:hAnsi="Georgia"/>
        </w:rPr>
        <w:t>period</w:t>
      </w:r>
      <w:r w:rsidRPr="00407CA0">
        <w:rPr>
          <w:rFonts w:ascii="Georgia" w:hAnsi="Georgia"/>
        </w:rPr>
        <w:t xml:space="preserve">. In 2018, </w:t>
      </w:r>
      <w:proofErr w:type="spellStart"/>
      <w:r w:rsidRPr="00407CA0">
        <w:rPr>
          <w:rFonts w:ascii="Georgia" w:hAnsi="Georgia"/>
        </w:rPr>
        <w:t>CSoC</w:t>
      </w:r>
      <w:proofErr w:type="spellEnd"/>
      <w:r w:rsidRPr="00407CA0">
        <w:rPr>
          <w:rFonts w:ascii="Georgia" w:hAnsi="Georgia"/>
        </w:rPr>
        <w:t xml:space="preserve"> became a university center in the Faculty of Humanities and Social Sciences at Ben-Gurion University of the Negev and has since been led by Prof. Effie Shoham. </w:t>
      </w:r>
      <w:r w:rsidR="001218EB">
        <w:rPr>
          <w:rFonts w:ascii="Georgia" w:hAnsi="Georgia"/>
        </w:rPr>
        <w:t>E</w:t>
      </w:r>
      <w:r w:rsidRPr="00407CA0">
        <w:rPr>
          <w:rFonts w:ascii="Georgia" w:hAnsi="Georgia"/>
        </w:rPr>
        <w:t>ach academic year</w:t>
      </w:r>
      <w:r w:rsidR="00C75F01">
        <w:rPr>
          <w:rFonts w:ascii="Georgia" w:hAnsi="Georgia"/>
        </w:rPr>
        <w:t>,</w:t>
      </w:r>
      <w:r w:rsidRPr="00407CA0">
        <w:rPr>
          <w:rFonts w:ascii="Georgia" w:hAnsi="Georgia"/>
        </w:rPr>
        <w:t xml:space="preserve"> </w:t>
      </w:r>
      <w:r w:rsidR="00CE14B7">
        <w:rPr>
          <w:rFonts w:ascii="Georgia" w:hAnsi="Georgia"/>
        </w:rPr>
        <w:t xml:space="preserve">the Center </w:t>
      </w:r>
      <w:r w:rsidRPr="00407CA0">
        <w:rPr>
          <w:rFonts w:ascii="Georgia" w:hAnsi="Georgia"/>
        </w:rPr>
        <w:t xml:space="preserve">focuses on a </w:t>
      </w:r>
      <w:r w:rsidR="00957C4C" w:rsidRPr="00407CA0">
        <w:rPr>
          <w:rFonts w:ascii="Georgia" w:hAnsi="Georgia"/>
        </w:rPr>
        <w:t>particular</w:t>
      </w:r>
      <w:r w:rsidRPr="00407CA0">
        <w:rPr>
          <w:rFonts w:ascii="Georgia" w:hAnsi="Georgia"/>
        </w:rPr>
        <w:t xml:space="preserve"> theme, </w:t>
      </w:r>
      <w:r w:rsidR="001218EB">
        <w:rPr>
          <w:rFonts w:ascii="Georgia" w:hAnsi="Georgia"/>
        </w:rPr>
        <w:t xml:space="preserve">and ends with </w:t>
      </w:r>
      <w:r w:rsidRPr="00407CA0">
        <w:rPr>
          <w:rFonts w:ascii="Georgia" w:hAnsi="Georgia"/>
        </w:rPr>
        <w:t>a</w:t>
      </w:r>
      <w:r w:rsidR="00CE14B7">
        <w:rPr>
          <w:rFonts w:ascii="Georgia" w:hAnsi="Georgia"/>
        </w:rPr>
        <w:t>n</w:t>
      </w:r>
      <w:r w:rsidRPr="00407CA0">
        <w:rPr>
          <w:rFonts w:ascii="Georgia" w:hAnsi="Georgia"/>
        </w:rPr>
        <w:t xml:space="preserve"> international workshop or conference. In the </w:t>
      </w:r>
      <w:proofErr w:type="gramStart"/>
      <w:r w:rsidRPr="00407CA0">
        <w:rPr>
          <w:rFonts w:ascii="Georgia" w:hAnsi="Georgia"/>
        </w:rPr>
        <w:t>summer of 2021</w:t>
      </w:r>
      <w:proofErr w:type="gramEnd"/>
      <w:r w:rsidRPr="00407CA0">
        <w:rPr>
          <w:rFonts w:ascii="Georgia" w:hAnsi="Georgia"/>
        </w:rPr>
        <w:t xml:space="preserve"> </w:t>
      </w:r>
      <w:r w:rsidR="001218EB">
        <w:rPr>
          <w:rFonts w:ascii="Georgia" w:hAnsi="Georgia"/>
        </w:rPr>
        <w:t xml:space="preserve">the </w:t>
      </w:r>
      <w:proofErr w:type="spellStart"/>
      <w:r w:rsidR="001218EB">
        <w:rPr>
          <w:rFonts w:ascii="Georgia" w:hAnsi="Georgia"/>
        </w:rPr>
        <w:t>CSoC</w:t>
      </w:r>
      <w:proofErr w:type="spellEnd"/>
      <w:r w:rsidR="001218EB">
        <w:rPr>
          <w:rFonts w:ascii="Georgia" w:hAnsi="Georgia"/>
        </w:rPr>
        <w:t xml:space="preserve"> group w</w:t>
      </w:r>
      <w:r w:rsidRPr="00407CA0">
        <w:rPr>
          <w:rFonts w:ascii="Georgia" w:hAnsi="Georgia"/>
        </w:rPr>
        <w:t xml:space="preserve">ill </w:t>
      </w:r>
      <w:r w:rsidR="00C75F01">
        <w:rPr>
          <w:rFonts w:ascii="Georgia" w:hAnsi="Georgia"/>
        </w:rPr>
        <w:t xml:space="preserve">host </w:t>
      </w:r>
      <w:r w:rsidRPr="00407CA0">
        <w:rPr>
          <w:rFonts w:ascii="Georgia" w:hAnsi="Georgia"/>
        </w:rPr>
        <w:t xml:space="preserve">The Center for Abrahamic Religions </w:t>
      </w:r>
      <w:r w:rsidR="00C75F01">
        <w:rPr>
          <w:rFonts w:ascii="Georgia" w:hAnsi="Georgia"/>
        </w:rPr>
        <w:t>from</w:t>
      </w:r>
      <w:r w:rsidRPr="00407CA0">
        <w:rPr>
          <w:rFonts w:ascii="Georgia" w:hAnsi="Georgia"/>
        </w:rPr>
        <w:t xml:space="preserve"> Oxford University</w:t>
      </w:r>
      <w:r w:rsidR="001218EB">
        <w:rPr>
          <w:rFonts w:ascii="Georgia" w:hAnsi="Georgia"/>
        </w:rPr>
        <w:t xml:space="preserve"> </w:t>
      </w:r>
      <w:r w:rsidR="00C75F01">
        <w:rPr>
          <w:rFonts w:ascii="Georgia" w:hAnsi="Georgia"/>
        </w:rPr>
        <w:t xml:space="preserve">in </w:t>
      </w:r>
      <w:r w:rsidR="001218EB">
        <w:rPr>
          <w:rFonts w:ascii="Georgia" w:hAnsi="Georgia"/>
        </w:rPr>
        <w:t>a workshop on</w:t>
      </w:r>
      <w:r w:rsidR="00C75F01" w:rsidRPr="00C75F01">
        <w:rPr>
          <w:rFonts w:ascii="Georgia" w:hAnsi="Georgia"/>
          <w:b/>
          <w:bCs/>
        </w:rPr>
        <w:t xml:space="preserve"> </w:t>
      </w:r>
      <w:r w:rsidR="00C75F01" w:rsidRPr="00C75F01">
        <w:rPr>
          <w:rFonts w:ascii="Georgia" w:hAnsi="Georgia"/>
        </w:rPr>
        <w:t>materiality and material culture in the three Abrahamic religions</w:t>
      </w:r>
      <w:r w:rsidR="00C75F01">
        <w:rPr>
          <w:rFonts w:ascii="Georgia" w:hAnsi="Georgia"/>
        </w:rPr>
        <w:t>.</w:t>
      </w:r>
    </w:p>
    <w:p w14:paraId="5E1995BE" w14:textId="77777777" w:rsidR="001F3780" w:rsidRDefault="007C4552" w:rsidP="00C75F01">
      <w:pPr>
        <w:bidi w:val="0"/>
        <w:spacing w:before="120" w:after="0" w:line="360" w:lineRule="auto"/>
        <w:jc w:val="both"/>
        <w:rPr>
          <w:rFonts w:ascii="Georgia" w:hAnsi="Georgia"/>
        </w:rPr>
      </w:pPr>
      <w:r w:rsidRPr="00407CA0">
        <w:rPr>
          <w:rFonts w:ascii="Georgia" w:hAnsi="Georgia"/>
        </w:rPr>
        <w:t xml:space="preserve">For more details </w:t>
      </w:r>
      <w:r w:rsidR="00C75F01">
        <w:rPr>
          <w:rFonts w:ascii="Georgia" w:hAnsi="Georgia"/>
        </w:rPr>
        <w:t>on</w:t>
      </w:r>
      <w:r w:rsidR="00CE14B7">
        <w:rPr>
          <w:rFonts w:ascii="Georgia" w:hAnsi="Georgia"/>
        </w:rPr>
        <w:t xml:space="preserve"> </w:t>
      </w:r>
      <w:proofErr w:type="spellStart"/>
      <w:r w:rsidR="00CE14B7">
        <w:rPr>
          <w:rFonts w:ascii="Georgia" w:hAnsi="Georgia"/>
        </w:rPr>
        <w:t>CSoC</w:t>
      </w:r>
      <w:proofErr w:type="spellEnd"/>
      <w:r w:rsidR="00CE14B7">
        <w:rPr>
          <w:rFonts w:ascii="Georgia" w:hAnsi="Georgia"/>
        </w:rPr>
        <w:t xml:space="preserve"> and its activities</w:t>
      </w:r>
      <w:r w:rsidR="00C75F01">
        <w:rPr>
          <w:rFonts w:ascii="Georgia" w:hAnsi="Georgia"/>
        </w:rPr>
        <w:t>:</w:t>
      </w:r>
      <w:r w:rsidR="00CE14B7">
        <w:rPr>
          <w:rFonts w:ascii="Georgia" w:hAnsi="Georgia"/>
        </w:rPr>
        <w:t xml:space="preserve"> </w:t>
      </w:r>
      <w:hyperlink r:id="rId12" w:history="1">
        <w:r w:rsidRPr="00407CA0">
          <w:rPr>
            <w:rStyle w:val="Hyperlink"/>
            <w:rFonts w:ascii="Georgia" w:hAnsi="Georgia"/>
          </w:rPr>
          <w:t>https://www.facebook.com/BGU.CSOC/</w:t>
        </w:r>
      </w:hyperlink>
    </w:p>
    <w:p w14:paraId="169288EC" w14:textId="77777777" w:rsidR="002952B2" w:rsidRPr="002952B2" w:rsidRDefault="002952B2" w:rsidP="002952B2">
      <w:pPr>
        <w:bidi w:val="0"/>
        <w:spacing w:before="120" w:after="0" w:line="360" w:lineRule="auto"/>
        <w:jc w:val="both"/>
        <w:rPr>
          <w:rFonts w:ascii="Georgia" w:hAnsi="Georgia"/>
          <w:b/>
          <w:bCs/>
          <w:sz w:val="6"/>
          <w:szCs w:val="6"/>
        </w:rPr>
      </w:pPr>
    </w:p>
    <w:p w14:paraId="42741F50" w14:textId="77777777" w:rsidR="004A18F5" w:rsidRPr="002C3260" w:rsidRDefault="004A18F5" w:rsidP="004A18F5">
      <w:pPr>
        <w:bidi w:val="0"/>
        <w:spacing w:before="120" w:after="0" w:line="360" w:lineRule="auto"/>
        <w:jc w:val="center"/>
        <w:rPr>
          <w:rFonts w:ascii="Georgia" w:hAnsi="Georgia"/>
          <w:b/>
          <w:bCs/>
          <w:sz w:val="8"/>
          <w:szCs w:val="8"/>
        </w:rPr>
      </w:pPr>
    </w:p>
    <w:p w14:paraId="0E9B729F" w14:textId="31025B44" w:rsidR="001F3780" w:rsidRPr="00407CA0" w:rsidRDefault="001F3780" w:rsidP="004A18F5">
      <w:pPr>
        <w:bidi w:val="0"/>
        <w:spacing w:before="120" w:after="0" w:line="360" w:lineRule="auto"/>
        <w:jc w:val="center"/>
        <w:rPr>
          <w:rFonts w:ascii="Georgia" w:hAnsi="Georgia"/>
        </w:rPr>
      </w:pPr>
      <w:r w:rsidRPr="00407CA0">
        <w:rPr>
          <w:rFonts w:ascii="Georgia" w:hAnsi="Georgia"/>
          <w:b/>
          <w:bCs/>
        </w:rPr>
        <w:t xml:space="preserve">Religion and Material Culture – </w:t>
      </w:r>
      <w:r w:rsidR="00861D7B">
        <w:rPr>
          <w:rFonts w:ascii="Georgia" w:hAnsi="Georgia"/>
          <w:b/>
          <w:bCs/>
        </w:rPr>
        <w:t>T</w:t>
      </w:r>
      <w:r w:rsidRPr="00407CA0">
        <w:rPr>
          <w:rFonts w:ascii="Georgia" w:hAnsi="Georgia"/>
          <w:b/>
          <w:bCs/>
        </w:rPr>
        <w:t>heme for 2020-2021</w:t>
      </w:r>
    </w:p>
    <w:p w14:paraId="7C88E9AB" w14:textId="6245827D" w:rsidR="001F3780" w:rsidRPr="00407CA0" w:rsidRDefault="001F3780" w:rsidP="00784F71">
      <w:pPr>
        <w:bidi w:val="0"/>
        <w:spacing w:before="120" w:after="0" w:line="360" w:lineRule="auto"/>
        <w:jc w:val="both"/>
        <w:rPr>
          <w:rFonts w:ascii="Georgia" w:hAnsi="Georgia"/>
        </w:rPr>
      </w:pPr>
      <w:r w:rsidRPr="00407CA0">
        <w:rPr>
          <w:rFonts w:ascii="Georgia" w:hAnsi="Georgia"/>
        </w:rPr>
        <w:t>In recent decades, scholars from different disciplines</w:t>
      </w:r>
      <w:r w:rsidR="00CE14B7">
        <w:rPr>
          <w:rFonts w:ascii="Georgia" w:hAnsi="Georgia"/>
        </w:rPr>
        <w:t>,</w:t>
      </w:r>
      <w:r w:rsidRPr="00407CA0">
        <w:rPr>
          <w:rFonts w:ascii="Georgia" w:hAnsi="Georgia"/>
        </w:rPr>
        <w:t xml:space="preserve"> including historians of religion, </w:t>
      </w:r>
      <w:r w:rsidR="00FF109D">
        <w:rPr>
          <w:rFonts w:ascii="Georgia" w:hAnsi="Georgia"/>
        </w:rPr>
        <w:t xml:space="preserve">have realized </w:t>
      </w:r>
      <w:r w:rsidRPr="00407CA0">
        <w:rPr>
          <w:rFonts w:ascii="Georgia" w:hAnsi="Georgia"/>
        </w:rPr>
        <w:t xml:space="preserve">that focusing on texts and rituals is insufficient, </w:t>
      </w:r>
      <w:r w:rsidR="00407CA0" w:rsidRPr="00407CA0">
        <w:rPr>
          <w:rFonts w:ascii="Georgia" w:hAnsi="Georgia"/>
        </w:rPr>
        <w:t>a</w:t>
      </w:r>
      <w:r w:rsidR="00FF109D">
        <w:rPr>
          <w:rFonts w:ascii="Georgia" w:hAnsi="Georgia"/>
        </w:rPr>
        <w:t>s</w:t>
      </w:r>
      <w:r w:rsidR="00407CA0" w:rsidRPr="00407CA0">
        <w:rPr>
          <w:rFonts w:ascii="Georgia" w:hAnsi="Georgia"/>
        </w:rPr>
        <w:t xml:space="preserve"> </w:t>
      </w:r>
      <w:r w:rsidRPr="00407CA0">
        <w:rPr>
          <w:rFonts w:ascii="Georgia" w:hAnsi="Georgia"/>
        </w:rPr>
        <w:t xml:space="preserve">religious identity, experience, </w:t>
      </w:r>
      <w:proofErr w:type="gramStart"/>
      <w:r w:rsidRPr="00407CA0">
        <w:rPr>
          <w:rFonts w:ascii="Georgia" w:hAnsi="Georgia"/>
        </w:rPr>
        <w:t>community</w:t>
      </w:r>
      <w:proofErr w:type="gramEnd"/>
      <w:r w:rsidRPr="00407CA0">
        <w:rPr>
          <w:rFonts w:ascii="Georgia" w:hAnsi="Georgia"/>
        </w:rPr>
        <w:t xml:space="preserve"> and worship are </w:t>
      </w:r>
      <w:r w:rsidR="00407CA0" w:rsidRPr="00407CA0">
        <w:rPr>
          <w:rFonts w:ascii="Georgia" w:hAnsi="Georgia"/>
        </w:rPr>
        <w:t xml:space="preserve">deeply </w:t>
      </w:r>
      <w:r w:rsidR="00FF109D">
        <w:rPr>
          <w:rFonts w:ascii="Georgia" w:hAnsi="Georgia"/>
        </w:rPr>
        <w:t>embedded in</w:t>
      </w:r>
      <w:r w:rsidRPr="00407CA0">
        <w:rPr>
          <w:rFonts w:ascii="Georgia" w:hAnsi="Georgia"/>
        </w:rPr>
        <w:t xml:space="preserve"> the material world</w:t>
      </w:r>
      <w:r w:rsidR="00407CA0" w:rsidRPr="00407CA0">
        <w:rPr>
          <w:rFonts w:ascii="Georgia" w:hAnsi="Georgia"/>
        </w:rPr>
        <w:t xml:space="preserve"> as well</w:t>
      </w:r>
      <w:r w:rsidRPr="00407CA0">
        <w:rPr>
          <w:rFonts w:ascii="Georgia" w:hAnsi="Georgia"/>
        </w:rPr>
        <w:t xml:space="preserve">. In </w:t>
      </w:r>
      <w:r w:rsidR="00FF109D">
        <w:rPr>
          <w:rFonts w:ascii="Georgia" w:hAnsi="Georgia"/>
        </w:rPr>
        <w:t>Judaism, Christianity and Islam</w:t>
      </w:r>
      <w:r w:rsidR="00C75F01">
        <w:rPr>
          <w:rFonts w:ascii="Georgia" w:hAnsi="Georgia"/>
        </w:rPr>
        <w:t>,</w:t>
      </w:r>
      <w:r w:rsidRPr="00407CA0">
        <w:rPr>
          <w:rFonts w:ascii="Georgia" w:hAnsi="Georgia"/>
        </w:rPr>
        <w:t xml:space="preserve"> materials and objects are</w:t>
      </w:r>
      <w:r w:rsidR="00407CA0" w:rsidRPr="00407CA0">
        <w:rPr>
          <w:rFonts w:ascii="Georgia" w:hAnsi="Georgia"/>
        </w:rPr>
        <w:t xml:space="preserve"> </w:t>
      </w:r>
      <w:r w:rsidRPr="00407CA0">
        <w:rPr>
          <w:rFonts w:ascii="Georgia" w:hAnsi="Georgia"/>
        </w:rPr>
        <w:t xml:space="preserve">used </w:t>
      </w:r>
      <w:r w:rsidR="00407CA0" w:rsidRPr="00407CA0">
        <w:rPr>
          <w:rFonts w:ascii="Georgia" w:hAnsi="Georgia"/>
        </w:rPr>
        <w:t>during</w:t>
      </w:r>
      <w:r w:rsidRPr="00407CA0">
        <w:rPr>
          <w:rFonts w:ascii="Georgia" w:hAnsi="Georgia"/>
        </w:rPr>
        <w:t xml:space="preserve"> prayer and </w:t>
      </w:r>
      <w:r w:rsidR="00407CA0" w:rsidRPr="00407CA0">
        <w:rPr>
          <w:rFonts w:ascii="Georgia" w:hAnsi="Georgia"/>
        </w:rPr>
        <w:t>commemoration</w:t>
      </w:r>
      <w:r w:rsidRPr="00407CA0">
        <w:rPr>
          <w:rFonts w:ascii="Georgia" w:hAnsi="Georgia"/>
        </w:rPr>
        <w:t xml:space="preserve">, </w:t>
      </w:r>
      <w:r w:rsidR="00784858">
        <w:rPr>
          <w:rFonts w:ascii="Georgia" w:hAnsi="Georgia"/>
        </w:rPr>
        <w:t xml:space="preserve">to </w:t>
      </w:r>
      <w:r w:rsidR="00784858" w:rsidRPr="00407CA0">
        <w:rPr>
          <w:rFonts w:ascii="Georgia" w:hAnsi="Georgia"/>
        </w:rPr>
        <w:t>symbolize holiness,</w:t>
      </w:r>
      <w:r w:rsidR="00784858">
        <w:rPr>
          <w:rFonts w:ascii="Georgia" w:hAnsi="Georgia"/>
        </w:rPr>
        <w:t xml:space="preserve"> </w:t>
      </w:r>
      <w:r w:rsidRPr="00407CA0">
        <w:rPr>
          <w:rFonts w:ascii="Georgia" w:hAnsi="Georgia"/>
        </w:rPr>
        <w:t xml:space="preserve">to mark hierarchies and power relations, </w:t>
      </w:r>
      <w:r w:rsidR="00AF1341">
        <w:rPr>
          <w:rFonts w:ascii="Georgia" w:hAnsi="Georgia"/>
        </w:rPr>
        <w:t>transfer</w:t>
      </w:r>
      <w:r w:rsidRPr="00407CA0">
        <w:rPr>
          <w:rFonts w:ascii="Georgia" w:hAnsi="Georgia"/>
        </w:rPr>
        <w:t xml:space="preserve"> blessing, </w:t>
      </w:r>
      <w:r w:rsidR="00784858">
        <w:rPr>
          <w:rFonts w:ascii="Georgia" w:hAnsi="Georgia"/>
        </w:rPr>
        <w:t xml:space="preserve">to </w:t>
      </w:r>
      <w:r w:rsidRPr="00407CA0">
        <w:rPr>
          <w:rFonts w:ascii="Georgia" w:hAnsi="Georgia"/>
        </w:rPr>
        <w:t>ed</w:t>
      </w:r>
      <w:r w:rsidR="005372BB">
        <w:rPr>
          <w:rFonts w:ascii="Georgia" w:hAnsi="Georgia"/>
        </w:rPr>
        <w:t>ify and more</w:t>
      </w:r>
      <w:r w:rsidRPr="00407CA0">
        <w:rPr>
          <w:rFonts w:ascii="Georgia" w:hAnsi="Georgia"/>
        </w:rPr>
        <w:t xml:space="preserve">. They play a major role in religious life, especially for believers </w:t>
      </w:r>
      <w:r w:rsidR="005372BB">
        <w:rPr>
          <w:rFonts w:ascii="Georgia" w:hAnsi="Georgia"/>
        </w:rPr>
        <w:t xml:space="preserve">from groups </w:t>
      </w:r>
      <w:r w:rsidRPr="00407CA0">
        <w:rPr>
          <w:rFonts w:ascii="Georgia" w:hAnsi="Georgia"/>
        </w:rPr>
        <w:t xml:space="preserve">who </w:t>
      </w:r>
      <w:r w:rsidR="00784F71">
        <w:rPr>
          <w:rFonts w:ascii="Georgia" w:hAnsi="Georgia"/>
        </w:rPr>
        <w:t>left</w:t>
      </w:r>
      <w:r w:rsidR="00784F71" w:rsidRPr="00407CA0">
        <w:rPr>
          <w:rFonts w:ascii="Georgia" w:hAnsi="Georgia"/>
        </w:rPr>
        <w:t xml:space="preserve"> </w:t>
      </w:r>
      <w:r w:rsidRPr="00407CA0">
        <w:rPr>
          <w:rFonts w:ascii="Georgia" w:hAnsi="Georgia"/>
        </w:rPr>
        <w:t xml:space="preserve">no written evidence. For the historian, </w:t>
      </w:r>
      <w:r w:rsidR="00C75F01">
        <w:rPr>
          <w:rFonts w:ascii="Georgia" w:hAnsi="Georgia"/>
        </w:rPr>
        <w:t>ritual</w:t>
      </w:r>
      <w:r w:rsidRPr="00407CA0">
        <w:rPr>
          <w:rFonts w:ascii="Georgia" w:hAnsi="Georgia"/>
        </w:rPr>
        <w:t xml:space="preserve"> objects may indicate continuity </w:t>
      </w:r>
      <w:r w:rsidR="00407CA0" w:rsidRPr="00407CA0">
        <w:rPr>
          <w:rFonts w:ascii="Georgia" w:hAnsi="Georgia"/>
        </w:rPr>
        <w:t>or</w:t>
      </w:r>
      <w:r w:rsidRPr="00407CA0">
        <w:rPr>
          <w:rFonts w:ascii="Georgia" w:hAnsi="Georgia"/>
        </w:rPr>
        <w:t xml:space="preserve"> change in a way that complements </w:t>
      </w:r>
      <w:r w:rsidR="00407CA0" w:rsidRPr="00407CA0">
        <w:rPr>
          <w:rFonts w:ascii="Georgia" w:hAnsi="Georgia"/>
        </w:rPr>
        <w:t>or</w:t>
      </w:r>
      <w:r w:rsidRPr="00407CA0">
        <w:rPr>
          <w:rFonts w:ascii="Georgia" w:hAnsi="Georgia"/>
        </w:rPr>
        <w:t xml:space="preserve"> challenges the narratives based on written texts.</w:t>
      </w:r>
    </w:p>
    <w:p w14:paraId="632F37E2" w14:textId="15BB792E" w:rsidR="002952B2" w:rsidRPr="004A18F5" w:rsidRDefault="00407CA0" w:rsidP="004A18F5">
      <w:pPr>
        <w:bidi w:val="0"/>
        <w:spacing w:before="120" w:after="0" w:line="360" w:lineRule="auto"/>
        <w:jc w:val="both"/>
        <w:rPr>
          <w:rFonts w:ascii="Georgia" w:hAnsi="Georgia"/>
        </w:rPr>
      </w:pPr>
      <w:proofErr w:type="spellStart"/>
      <w:r w:rsidRPr="00407CA0">
        <w:rPr>
          <w:rFonts w:ascii="Georgia" w:hAnsi="Georgia"/>
        </w:rPr>
        <w:t>CSoC's</w:t>
      </w:r>
      <w:proofErr w:type="spellEnd"/>
      <w:r w:rsidRPr="00407CA0">
        <w:rPr>
          <w:rFonts w:ascii="Georgia" w:hAnsi="Georgia"/>
        </w:rPr>
        <w:t xml:space="preserve"> Seminars for 2020-2021 </w:t>
      </w:r>
      <w:r w:rsidR="001F3780" w:rsidRPr="00407CA0">
        <w:rPr>
          <w:rFonts w:ascii="Georgia" w:hAnsi="Georgia"/>
        </w:rPr>
        <w:t>will be devoted to examining a wide range of issues related to material</w:t>
      </w:r>
      <w:r w:rsidR="005372BB">
        <w:rPr>
          <w:rFonts w:ascii="Georgia" w:hAnsi="Georgia"/>
        </w:rPr>
        <w:t>ity</w:t>
      </w:r>
      <w:r w:rsidR="001F3780" w:rsidRPr="00407CA0">
        <w:rPr>
          <w:rFonts w:ascii="Georgia" w:hAnsi="Georgia"/>
        </w:rPr>
        <w:t xml:space="preserve"> in Judaism, </w:t>
      </w:r>
      <w:proofErr w:type="gramStart"/>
      <w:r w:rsidR="001F3780" w:rsidRPr="00407CA0">
        <w:rPr>
          <w:rFonts w:ascii="Georgia" w:hAnsi="Georgia"/>
        </w:rPr>
        <w:t>Christianity</w:t>
      </w:r>
      <w:proofErr w:type="gramEnd"/>
      <w:r w:rsidR="001F3780" w:rsidRPr="00407CA0">
        <w:rPr>
          <w:rFonts w:ascii="Georgia" w:hAnsi="Georgia"/>
        </w:rPr>
        <w:t xml:space="preserve"> and Islam, </w:t>
      </w:r>
      <w:r w:rsidR="005372BB">
        <w:rPr>
          <w:rFonts w:ascii="Georgia" w:hAnsi="Georgia"/>
        </w:rPr>
        <w:t>in</w:t>
      </w:r>
      <w:r w:rsidRPr="00407CA0">
        <w:rPr>
          <w:rFonts w:ascii="Georgia" w:hAnsi="Georgia"/>
        </w:rPr>
        <w:t xml:space="preserve"> </w:t>
      </w:r>
      <w:r w:rsidR="001F3780" w:rsidRPr="00407CA0">
        <w:rPr>
          <w:rFonts w:ascii="Georgia" w:hAnsi="Georgia"/>
        </w:rPr>
        <w:t xml:space="preserve">different historical periods. </w:t>
      </w:r>
      <w:r w:rsidR="005372BB">
        <w:rPr>
          <w:rFonts w:ascii="Georgia" w:hAnsi="Georgia"/>
        </w:rPr>
        <w:t>We welcome the application of r</w:t>
      </w:r>
      <w:r w:rsidRPr="00407CA0">
        <w:rPr>
          <w:rFonts w:ascii="Georgia" w:hAnsi="Georgia"/>
        </w:rPr>
        <w:t>esearch</w:t>
      </w:r>
      <w:r w:rsidR="005372BB">
        <w:rPr>
          <w:rFonts w:ascii="Georgia" w:hAnsi="Georgia"/>
        </w:rPr>
        <w:t>ers</w:t>
      </w:r>
      <w:r w:rsidR="001F3780" w:rsidRPr="00407CA0">
        <w:rPr>
          <w:rFonts w:ascii="Georgia" w:hAnsi="Georgia"/>
        </w:rPr>
        <w:t xml:space="preserve"> </w:t>
      </w:r>
      <w:r w:rsidR="005372BB">
        <w:rPr>
          <w:rFonts w:ascii="Georgia" w:hAnsi="Georgia"/>
        </w:rPr>
        <w:t>who</w:t>
      </w:r>
      <w:r w:rsidR="001F3780" w:rsidRPr="00407CA0">
        <w:rPr>
          <w:rFonts w:ascii="Georgia" w:hAnsi="Georgia"/>
        </w:rPr>
        <w:t xml:space="preserve"> focus on </w:t>
      </w:r>
      <w:r w:rsidR="005372BB">
        <w:rPr>
          <w:rFonts w:ascii="Georgia" w:hAnsi="Georgia"/>
        </w:rPr>
        <w:t xml:space="preserve">the </w:t>
      </w:r>
      <w:r w:rsidR="001F3780" w:rsidRPr="00407CA0">
        <w:rPr>
          <w:rFonts w:ascii="Georgia" w:hAnsi="Georgia"/>
        </w:rPr>
        <w:t>usage</w:t>
      </w:r>
      <w:r w:rsidR="005372BB">
        <w:rPr>
          <w:rFonts w:ascii="Georgia" w:hAnsi="Georgia"/>
        </w:rPr>
        <w:t>,</w:t>
      </w:r>
      <w:r w:rsidR="001F3780" w:rsidRPr="00407CA0">
        <w:rPr>
          <w:rFonts w:ascii="Georgia" w:hAnsi="Georgia"/>
        </w:rPr>
        <w:t xml:space="preserve"> </w:t>
      </w:r>
      <w:proofErr w:type="gramStart"/>
      <w:r w:rsidR="001F3780" w:rsidRPr="00407CA0">
        <w:rPr>
          <w:rFonts w:ascii="Georgia" w:hAnsi="Georgia"/>
        </w:rPr>
        <w:t>history</w:t>
      </w:r>
      <w:proofErr w:type="gramEnd"/>
      <w:r w:rsidR="005372BB">
        <w:rPr>
          <w:rFonts w:ascii="Georgia" w:hAnsi="Georgia"/>
        </w:rPr>
        <w:t xml:space="preserve"> and theological status of</w:t>
      </w:r>
      <w:r w:rsidR="005372BB" w:rsidRPr="005372BB">
        <w:rPr>
          <w:rFonts w:ascii="Georgia" w:hAnsi="Georgia"/>
        </w:rPr>
        <w:t xml:space="preserve"> </w:t>
      </w:r>
      <w:r w:rsidR="005372BB" w:rsidRPr="00407CA0">
        <w:rPr>
          <w:rFonts w:ascii="Georgia" w:hAnsi="Georgia"/>
        </w:rPr>
        <w:t>sacred objects</w:t>
      </w:r>
      <w:r w:rsidR="001F3780" w:rsidRPr="00407CA0">
        <w:rPr>
          <w:rFonts w:ascii="Georgia" w:hAnsi="Georgia"/>
        </w:rPr>
        <w:t xml:space="preserve">; </w:t>
      </w:r>
      <w:r w:rsidR="005372BB">
        <w:rPr>
          <w:rFonts w:ascii="Georgia" w:hAnsi="Georgia"/>
        </w:rPr>
        <w:t xml:space="preserve">on </w:t>
      </w:r>
      <w:r w:rsidR="001F3780" w:rsidRPr="00407CA0">
        <w:rPr>
          <w:rFonts w:ascii="Georgia" w:hAnsi="Georgia"/>
        </w:rPr>
        <w:t xml:space="preserve">the development of </w:t>
      </w:r>
      <w:r w:rsidRPr="00407CA0">
        <w:rPr>
          <w:rFonts w:ascii="Georgia" w:hAnsi="Georgia"/>
        </w:rPr>
        <w:t xml:space="preserve">ritual </w:t>
      </w:r>
      <w:r w:rsidR="00C75F01">
        <w:rPr>
          <w:rFonts w:ascii="Georgia" w:hAnsi="Georgia"/>
        </w:rPr>
        <w:t>items</w:t>
      </w:r>
      <w:r w:rsidR="001F3780" w:rsidRPr="00407CA0">
        <w:rPr>
          <w:rFonts w:ascii="Georgia" w:hAnsi="Georgia"/>
        </w:rPr>
        <w:t xml:space="preserve"> </w:t>
      </w:r>
      <w:r w:rsidR="005372BB">
        <w:rPr>
          <w:rFonts w:ascii="Georgia" w:hAnsi="Georgia"/>
        </w:rPr>
        <w:t xml:space="preserve">and/or </w:t>
      </w:r>
      <w:r w:rsidRPr="00407CA0">
        <w:rPr>
          <w:rFonts w:ascii="Georgia" w:hAnsi="Georgia"/>
        </w:rPr>
        <w:t>the</w:t>
      </w:r>
      <w:r w:rsidR="005372BB">
        <w:rPr>
          <w:rFonts w:ascii="Georgia" w:hAnsi="Georgia"/>
        </w:rPr>
        <w:t>ir</w:t>
      </w:r>
      <w:r w:rsidRPr="00407CA0">
        <w:rPr>
          <w:rFonts w:ascii="Georgia" w:hAnsi="Georgia"/>
        </w:rPr>
        <w:t xml:space="preserve"> </w:t>
      </w:r>
      <w:r w:rsidR="001F3780" w:rsidRPr="00407CA0">
        <w:rPr>
          <w:rFonts w:ascii="Georgia" w:hAnsi="Georgia"/>
        </w:rPr>
        <w:t xml:space="preserve">manufacturers, production processes and patterns of consumption; </w:t>
      </w:r>
      <w:r w:rsidR="005372BB">
        <w:rPr>
          <w:rFonts w:ascii="Georgia" w:hAnsi="Georgia"/>
        </w:rPr>
        <w:t xml:space="preserve">on </w:t>
      </w:r>
      <w:r w:rsidRPr="00407CA0">
        <w:rPr>
          <w:rFonts w:ascii="Georgia" w:hAnsi="Georgia"/>
        </w:rPr>
        <w:t>t</w:t>
      </w:r>
      <w:r w:rsidR="001F3780" w:rsidRPr="00407CA0">
        <w:rPr>
          <w:rFonts w:ascii="Georgia" w:hAnsi="Georgia"/>
        </w:rPr>
        <w:t xml:space="preserve">he role of materials and objects in pilgrimage, ceremonies, </w:t>
      </w:r>
      <w:r w:rsidR="005372BB">
        <w:rPr>
          <w:rFonts w:ascii="Georgia" w:hAnsi="Georgia"/>
        </w:rPr>
        <w:t>magic and</w:t>
      </w:r>
      <w:r w:rsidR="001F3780" w:rsidRPr="00407CA0">
        <w:rPr>
          <w:rFonts w:ascii="Georgia" w:hAnsi="Georgia"/>
        </w:rPr>
        <w:t xml:space="preserve"> indoctrination; </w:t>
      </w:r>
      <w:r w:rsidR="005372BB">
        <w:rPr>
          <w:rFonts w:ascii="Georgia" w:hAnsi="Georgia"/>
        </w:rPr>
        <w:t>and on</w:t>
      </w:r>
      <w:r w:rsidR="001F3780" w:rsidRPr="00407CA0">
        <w:rPr>
          <w:rFonts w:ascii="Georgia" w:hAnsi="Georgia"/>
        </w:rPr>
        <w:t xml:space="preserve"> artistic, theoretical and methodological aspects of materiality.</w:t>
      </w:r>
      <w:r w:rsidR="0074108D">
        <w:rPr>
          <w:rFonts w:ascii="Georgia" w:hAnsi="Georgia"/>
        </w:rPr>
        <w:t xml:space="preserve"> </w:t>
      </w:r>
      <w:r w:rsidR="0074108D" w:rsidRPr="00407CA0">
        <w:rPr>
          <w:rFonts w:ascii="Georgia" w:hAnsi="Georgia"/>
        </w:rPr>
        <w:t xml:space="preserve">Scholars who do comparative work and those that emphasize transitions, connections and polemics between religions are especially </w:t>
      </w:r>
      <w:r w:rsidR="0074108D">
        <w:rPr>
          <w:rFonts w:ascii="Georgia" w:hAnsi="Georgia"/>
        </w:rPr>
        <w:t>encouraged to apply</w:t>
      </w:r>
      <w:r w:rsidR="0074108D" w:rsidRPr="00407CA0">
        <w:rPr>
          <w:rFonts w:ascii="Georgia" w:hAnsi="Georgia"/>
        </w:rPr>
        <w:t>.</w:t>
      </w:r>
    </w:p>
    <w:sectPr w:rsidR="002952B2" w:rsidRPr="004A18F5" w:rsidSect="00407CA0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3F99" w14:textId="77777777" w:rsidR="00F2247E" w:rsidRDefault="00F2247E" w:rsidP="002504B6">
      <w:r>
        <w:separator/>
      </w:r>
    </w:p>
  </w:endnote>
  <w:endnote w:type="continuationSeparator" w:id="0">
    <w:p w14:paraId="59D97532" w14:textId="77777777" w:rsidR="00F2247E" w:rsidRDefault="00F2247E" w:rsidP="0025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4727" w14:textId="77777777" w:rsidR="002952B2" w:rsidRPr="002952B2" w:rsidRDefault="002952B2">
    <w:pPr>
      <w:rPr>
        <w:sz w:val="6"/>
        <w:szCs w:val="6"/>
      </w:rPr>
    </w:pPr>
  </w:p>
  <w:tbl>
    <w:tblPr>
      <w:bidiVisual/>
      <w:tblW w:w="9769" w:type="dxa"/>
      <w:tblInd w:w="33" w:type="dxa"/>
      <w:tblLook w:val="04A0" w:firstRow="1" w:lastRow="0" w:firstColumn="1" w:lastColumn="0" w:noHBand="0" w:noVBand="1"/>
    </w:tblPr>
    <w:tblGrid>
      <w:gridCol w:w="4382"/>
      <w:gridCol w:w="5387"/>
    </w:tblGrid>
    <w:tr w:rsidR="007A3B5F" w:rsidRPr="002952B2" w14:paraId="6CD2ED17" w14:textId="77777777" w:rsidTr="002952B2">
      <w:tc>
        <w:tcPr>
          <w:tcW w:w="4382" w:type="dxa"/>
          <w:shd w:val="clear" w:color="auto" w:fill="auto"/>
        </w:tcPr>
        <w:p w14:paraId="27347B5C" w14:textId="77777777" w:rsidR="007A3B5F" w:rsidRPr="002952B2" w:rsidRDefault="007A3B5F" w:rsidP="002C1D2F">
          <w:pPr>
            <w:pStyle w:val="Footer"/>
            <w:bidi w:val="0"/>
            <w:spacing w:after="0" w:line="240" w:lineRule="auto"/>
            <w:rPr>
              <w:b/>
              <w:bCs/>
              <w:color w:val="808080"/>
              <w:sz w:val="20"/>
              <w:szCs w:val="20"/>
            </w:rPr>
          </w:pPr>
          <w:r w:rsidRPr="002952B2">
            <w:rPr>
              <w:b/>
              <w:bCs/>
              <w:color w:val="808080"/>
              <w:sz w:val="20"/>
              <w:szCs w:val="20"/>
            </w:rPr>
            <w:t>R</w:t>
          </w:r>
          <w:r w:rsidR="00D3069A" w:rsidRPr="002952B2">
            <w:rPr>
              <w:b/>
              <w:bCs/>
              <w:color w:val="808080"/>
              <w:sz w:val="20"/>
              <w:szCs w:val="20"/>
            </w:rPr>
            <w:t>aya Even-</w:t>
          </w:r>
          <w:r w:rsidRPr="002952B2">
            <w:rPr>
              <w:b/>
              <w:bCs/>
              <w:color w:val="808080"/>
              <w:sz w:val="20"/>
              <w:szCs w:val="20"/>
            </w:rPr>
            <w:t>David</w:t>
          </w:r>
        </w:p>
        <w:p w14:paraId="236D4A3F" w14:textId="77777777" w:rsidR="00D3069A" w:rsidRPr="002952B2" w:rsidRDefault="007A3B5F" w:rsidP="002C1D2F">
          <w:pPr>
            <w:pStyle w:val="Footer"/>
            <w:bidi w:val="0"/>
            <w:spacing w:after="0" w:line="240" w:lineRule="auto"/>
            <w:rPr>
              <w:color w:val="808080"/>
              <w:sz w:val="20"/>
              <w:szCs w:val="20"/>
            </w:rPr>
          </w:pPr>
          <w:r w:rsidRPr="002952B2">
            <w:rPr>
              <w:color w:val="808080"/>
              <w:sz w:val="20"/>
              <w:szCs w:val="20"/>
            </w:rPr>
            <w:t>Administrat</w:t>
          </w:r>
          <w:r w:rsidR="00D3069A" w:rsidRPr="002952B2">
            <w:rPr>
              <w:color w:val="808080"/>
              <w:sz w:val="20"/>
              <w:szCs w:val="20"/>
            </w:rPr>
            <w:t>ive Manager</w:t>
          </w:r>
          <w:r w:rsidRPr="002952B2">
            <w:rPr>
              <w:color w:val="808080"/>
              <w:sz w:val="20"/>
              <w:szCs w:val="20"/>
            </w:rPr>
            <w:t>,</w:t>
          </w:r>
        </w:p>
        <w:p w14:paraId="32C613DA" w14:textId="77777777" w:rsidR="007A3B5F" w:rsidRPr="002952B2" w:rsidRDefault="007A3B5F" w:rsidP="002C1D2F">
          <w:pPr>
            <w:pStyle w:val="Footer"/>
            <w:bidi w:val="0"/>
            <w:spacing w:after="0" w:line="240" w:lineRule="auto"/>
            <w:rPr>
              <w:color w:val="808080"/>
              <w:sz w:val="20"/>
              <w:szCs w:val="20"/>
            </w:rPr>
          </w:pPr>
          <w:r w:rsidRPr="002952B2">
            <w:rPr>
              <w:color w:val="808080"/>
              <w:sz w:val="20"/>
              <w:szCs w:val="20"/>
            </w:rPr>
            <w:t>Center for the Study of Conversion</w:t>
          </w:r>
          <w:r w:rsidR="000772D1" w:rsidRPr="002952B2">
            <w:rPr>
              <w:color w:val="808080"/>
              <w:sz w:val="20"/>
              <w:szCs w:val="20"/>
            </w:rPr>
            <w:t xml:space="preserve"> </w:t>
          </w:r>
          <w:r w:rsidRPr="002952B2">
            <w:rPr>
              <w:color w:val="808080"/>
              <w:sz w:val="20"/>
              <w:szCs w:val="20"/>
            </w:rPr>
            <w:t>and</w:t>
          </w:r>
          <w:r w:rsidR="00D3069A" w:rsidRPr="002952B2">
            <w:rPr>
              <w:color w:val="808080"/>
              <w:sz w:val="20"/>
              <w:szCs w:val="20"/>
            </w:rPr>
            <w:t xml:space="preserve"> </w:t>
          </w:r>
          <w:r w:rsidRPr="002952B2">
            <w:rPr>
              <w:color w:val="808080"/>
              <w:sz w:val="20"/>
              <w:szCs w:val="20"/>
            </w:rPr>
            <w:t>Inter-Religious Encounters</w:t>
          </w:r>
        </w:p>
        <w:p w14:paraId="73F4582D" w14:textId="77777777" w:rsidR="007A3B5F" w:rsidRPr="002952B2" w:rsidRDefault="002C3260" w:rsidP="002C1D2F">
          <w:pPr>
            <w:pStyle w:val="Footer"/>
            <w:bidi w:val="0"/>
            <w:spacing w:after="0" w:line="240" w:lineRule="auto"/>
            <w:rPr>
              <w:b/>
              <w:bCs/>
              <w:color w:val="808080"/>
              <w:sz w:val="20"/>
              <w:szCs w:val="20"/>
            </w:rPr>
          </w:pPr>
          <w:hyperlink r:id="rId1" w:history="1">
            <w:r w:rsidR="007A3B5F" w:rsidRPr="002952B2">
              <w:rPr>
                <w:rStyle w:val="Hyperlink"/>
                <w:color w:val="5B9BD5"/>
                <w:sz w:val="20"/>
                <w:szCs w:val="20"/>
              </w:rPr>
              <w:t>rayaED@bgu.ac.il</w:t>
            </w:r>
          </w:hyperlink>
          <w:r w:rsidR="007A3B5F" w:rsidRPr="002952B2">
            <w:rPr>
              <w:color w:val="808080"/>
              <w:sz w:val="20"/>
              <w:szCs w:val="20"/>
            </w:rPr>
            <w:t xml:space="preserve"> +972-8-64</w:t>
          </w:r>
          <w:r w:rsidR="007A3B5F" w:rsidRPr="002952B2">
            <w:rPr>
              <w:b/>
              <w:bCs/>
              <w:color w:val="808080"/>
              <w:sz w:val="20"/>
              <w:szCs w:val="20"/>
            </w:rPr>
            <w:t>28377</w:t>
          </w:r>
        </w:p>
      </w:tc>
      <w:tc>
        <w:tcPr>
          <w:tcW w:w="5387" w:type="dxa"/>
          <w:shd w:val="clear" w:color="auto" w:fill="auto"/>
        </w:tcPr>
        <w:p w14:paraId="7FE7A936" w14:textId="77777777" w:rsidR="007A3B5F" w:rsidRPr="002952B2" w:rsidRDefault="009C520E" w:rsidP="005D27D4">
          <w:pPr>
            <w:pStyle w:val="Footer"/>
            <w:bidi w:val="0"/>
            <w:spacing w:after="0" w:line="240" w:lineRule="auto"/>
            <w:rPr>
              <w:color w:val="808080"/>
              <w:sz w:val="20"/>
              <w:szCs w:val="20"/>
            </w:rPr>
          </w:pPr>
          <w:r w:rsidRPr="002952B2">
            <w:rPr>
              <w:b/>
              <w:bCs/>
              <w:color w:val="808080"/>
              <w:sz w:val="20"/>
              <w:szCs w:val="20"/>
            </w:rPr>
            <w:t>Prof</w:t>
          </w:r>
          <w:r w:rsidR="007A3B5F" w:rsidRPr="002952B2">
            <w:rPr>
              <w:b/>
              <w:bCs/>
              <w:color w:val="808080"/>
              <w:sz w:val="20"/>
              <w:szCs w:val="20"/>
            </w:rPr>
            <w:t>. Ephraim (Effie) Shoham-Steiner</w:t>
          </w:r>
          <w:r w:rsidR="007A3B5F" w:rsidRPr="002952B2">
            <w:rPr>
              <w:b/>
              <w:bCs/>
              <w:color w:val="808080"/>
              <w:sz w:val="20"/>
              <w:szCs w:val="20"/>
            </w:rPr>
            <w:br/>
          </w:r>
          <w:r w:rsidR="007A3B5F" w:rsidRPr="002952B2">
            <w:rPr>
              <w:color w:val="808080"/>
              <w:sz w:val="20"/>
              <w:szCs w:val="20"/>
            </w:rPr>
            <w:t>Director, Center for the Study of Conversion</w:t>
          </w:r>
        </w:p>
        <w:p w14:paraId="755367FD" w14:textId="77777777" w:rsidR="007A3B5F" w:rsidRPr="002952B2" w:rsidRDefault="007A3B5F" w:rsidP="002C1D2F">
          <w:pPr>
            <w:pStyle w:val="Footer"/>
            <w:bidi w:val="0"/>
            <w:spacing w:after="0" w:line="240" w:lineRule="auto"/>
            <w:rPr>
              <w:color w:val="808080"/>
              <w:sz w:val="20"/>
              <w:szCs w:val="20"/>
            </w:rPr>
          </w:pPr>
          <w:r w:rsidRPr="002952B2">
            <w:rPr>
              <w:color w:val="808080"/>
              <w:sz w:val="20"/>
              <w:szCs w:val="20"/>
            </w:rPr>
            <w:t>and Inter-Religious Encounters</w:t>
          </w:r>
        </w:p>
        <w:p w14:paraId="1BC939FE" w14:textId="77777777" w:rsidR="005D27D4" w:rsidRPr="002952B2" w:rsidRDefault="005D27D4" w:rsidP="005D27D4">
          <w:pPr>
            <w:pStyle w:val="Footer"/>
            <w:bidi w:val="0"/>
            <w:spacing w:after="0" w:line="240" w:lineRule="auto"/>
            <w:rPr>
              <w:color w:val="808080"/>
              <w:sz w:val="20"/>
              <w:szCs w:val="20"/>
            </w:rPr>
          </w:pPr>
          <w:r w:rsidRPr="002952B2">
            <w:rPr>
              <w:color w:val="808080"/>
              <w:sz w:val="20"/>
              <w:szCs w:val="20"/>
            </w:rPr>
            <w:t>Senior Lecturer | Jewish History Department</w:t>
          </w:r>
        </w:p>
        <w:p w14:paraId="11C27A1A" w14:textId="77777777" w:rsidR="007A3B5F" w:rsidRPr="002952B2" w:rsidRDefault="002C3260" w:rsidP="002C1D2F">
          <w:pPr>
            <w:pStyle w:val="Footer"/>
            <w:bidi w:val="0"/>
            <w:spacing w:after="0" w:line="240" w:lineRule="auto"/>
            <w:rPr>
              <w:color w:val="808080"/>
              <w:sz w:val="20"/>
              <w:szCs w:val="20"/>
              <w:rtl/>
            </w:rPr>
          </w:pPr>
          <w:hyperlink r:id="rId2" w:history="1">
            <w:r w:rsidR="007A3B5F" w:rsidRPr="002952B2">
              <w:rPr>
                <w:rStyle w:val="Hyperlink"/>
                <w:color w:val="5B9BD5"/>
                <w:sz w:val="20"/>
                <w:szCs w:val="20"/>
              </w:rPr>
              <w:t>shohamst@bgu.ac.il</w:t>
            </w:r>
          </w:hyperlink>
          <w:r w:rsidR="007A3B5F" w:rsidRPr="002952B2">
            <w:rPr>
              <w:color w:val="808080"/>
              <w:sz w:val="20"/>
              <w:szCs w:val="20"/>
            </w:rPr>
            <w:t> | Tel: +972-8-64</w:t>
          </w:r>
          <w:r w:rsidR="007A3B5F" w:rsidRPr="002952B2">
            <w:rPr>
              <w:b/>
              <w:bCs/>
              <w:color w:val="808080"/>
              <w:sz w:val="20"/>
              <w:szCs w:val="20"/>
            </w:rPr>
            <w:t>72510</w:t>
          </w:r>
        </w:p>
      </w:tc>
    </w:tr>
  </w:tbl>
  <w:p w14:paraId="72DE8DA7" w14:textId="77777777" w:rsidR="007A3B5F" w:rsidRPr="005B3475" w:rsidRDefault="007A3B5F" w:rsidP="002C1D2F">
    <w:pPr>
      <w:pStyle w:val="Footer"/>
      <w:spacing w:after="0" w:line="240" w:lineRule="auto"/>
      <w:rPr>
        <w:color w:val="80808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44AC" w14:textId="77777777" w:rsidR="00F2247E" w:rsidRDefault="00F2247E" w:rsidP="002504B6">
      <w:r>
        <w:separator/>
      </w:r>
    </w:p>
  </w:footnote>
  <w:footnote w:type="continuationSeparator" w:id="0">
    <w:p w14:paraId="09A13EFD" w14:textId="77777777" w:rsidR="00F2247E" w:rsidRDefault="00F2247E" w:rsidP="0025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2E03" w14:textId="0474C9D2" w:rsidR="004C17E5" w:rsidRPr="00E92523" w:rsidRDefault="009C520E" w:rsidP="002C3260">
    <w:pPr>
      <w:pStyle w:val="Header"/>
      <w:rPr>
        <w:sz w:val="2"/>
        <w:szCs w:val="2"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CBCD4" wp14:editId="3EB50FDF">
          <wp:simplePos x="0" y="0"/>
          <wp:positionH relativeFrom="column">
            <wp:posOffset>4651789</wp:posOffset>
          </wp:positionH>
          <wp:positionV relativeFrom="paragraph">
            <wp:posOffset>11982</wp:posOffset>
          </wp:positionV>
          <wp:extent cx="1515745" cy="981075"/>
          <wp:effectExtent l="0" t="0" r="0" b="0"/>
          <wp:wrapNone/>
          <wp:docPr id="2" name="Picture 5" descr="C:\Users\rayaed\Documents\CSoC\Media\Newsletter\BGU logo\BGU.sig.biling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yaed\Documents\CSoC\Media\Newsletter\BGU logo\BGU.sig.biling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32EA56B" wp14:editId="6F8CD7AE">
          <wp:simplePos x="0" y="0"/>
          <wp:positionH relativeFrom="column">
            <wp:posOffset>-2540</wp:posOffset>
          </wp:positionH>
          <wp:positionV relativeFrom="paragraph">
            <wp:posOffset>-132715</wp:posOffset>
          </wp:positionV>
          <wp:extent cx="1231265" cy="1217930"/>
          <wp:effectExtent l="0" t="0" r="6985" b="1270"/>
          <wp:wrapNone/>
          <wp:docPr id="1" name="Picture 3" descr="Center for the Study of Con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nter for the Study of Conversio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9" r="14705" b="29100"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1217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523">
      <w:rPr>
        <w:rtl/>
      </w:rPr>
      <w:tab/>
    </w:r>
    <w:r w:rsidR="00E92523">
      <w:rPr>
        <w:rtl/>
      </w:rPr>
      <w:tab/>
    </w:r>
    <w:r w:rsidR="00E92523">
      <w:rPr>
        <w:rtl/>
      </w:rPr>
      <w:tab/>
    </w:r>
  </w:p>
  <w:p w14:paraId="66DAD85E" w14:textId="77777777" w:rsidR="00E92523" w:rsidRDefault="00E92523" w:rsidP="00E92523">
    <w:pPr>
      <w:pStyle w:val="Header"/>
      <w:tabs>
        <w:tab w:val="clear" w:pos="4153"/>
        <w:tab w:val="clear" w:pos="8306"/>
        <w:tab w:val="left" w:pos="4643"/>
        <w:tab w:val="left" w:pos="5040"/>
        <w:tab w:val="left" w:pos="5501"/>
      </w:tabs>
      <w:rPr>
        <w:rtl/>
      </w:rPr>
    </w:pPr>
  </w:p>
  <w:p w14:paraId="74AB7F96" w14:textId="77777777" w:rsidR="002C1D2F" w:rsidRDefault="002C1D2F" w:rsidP="009C520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168B"/>
    <w:multiLevelType w:val="hybridMultilevel"/>
    <w:tmpl w:val="D51C0B72"/>
    <w:lvl w:ilvl="0" w:tplc="0D640D38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6CE29F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6"/>
        <w:szCs w:val="2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56FF"/>
    <w:multiLevelType w:val="hybridMultilevel"/>
    <w:tmpl w:val="373C70AA"/>
    <w:lvl w:ilvl="0" w:tplc="E03298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A4AAB"/>
    <w:multiLevelType w:val="hybridMultilevel"/>
    <w:tmpl w:val="87BC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938F1"/>
    <w:multiLevelType w:val="hybridMultilevel"/>
    <w:tmpl w:val="7B70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C0085"/>
    <w:multiLevelType w:val="hybridMultilevel"/>
    <w:tmpl w:val="2CDE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53C4D"/>
    <w:multiLevelType w:val="hybridMultilevel"/>
    <w:tmpl w:val="8F4A8C2A"/>
    <w:lvl w:ilvl="0" w:tplc="0D640D38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5983"/>
    <w:multiLevelType w:val="hybridMultilevel"/>
    <w:tmpl w:val="AD10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B6DA8"/>
    <w:multiLevelType w:val="hybridMultilevel"/>
    <w:tmpl w:val="9DC4E96A"/>
    <w:lvl w:ilvl="0" w:tplc="CFCEB9C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81505">
    <w:abstractNumId w:val="5"/>
  </w:num>
  <w:num w:numId="2" w16cid:durableId="1972590650">
    <w:abstractNumId w:val="0"/>
  </w:num>
  <w:num w:numId="3" w16cid:durableId="210965966">
    <w:abstractNumId w:val="6"/>
  </w:num>
  <w:num w:numId="4" w16cid:durableId="331681852">
    <w:abstractNumId w:val="1"/>
  </w:num>
  <w:num w:numId="5" w16cid:durableId="1762213566">
    <w:abstractNumId w:val="4"/>
  </w:num>
  <w:num w:numId="6" w16cid:durableId="963080628">
    <w:abstractNumId w:val="2"/>
  </w:num>
  <w:num w:numId="7" w16cid:durableId="114839395">
    <w:abstractNumId w:val="3"/>
  </w:num>
  <w:num w:numId="8" w16cid:durableId="1024135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D4"/>
    <w:rsid w:val="00011D5E"/>
    <w:rsid w:val="00020592"/>
    <w:rsid w:val="000233AF"/>
    <w:rsid w:val="00025F71"/>
    <w:rsid w:val="000405BB"/>
    <w:rsid w:val="0004069D"/>
    <w:rsid w:val="00041004"/>
    <w:rsid w:val="00047698"/>
    <w:rsid w:val="00055968"/>
    <w:rsid w:val="00067136"/>
    <w:rsid w:val="0007648D"/>
    <w:rsid w:val="000772D1"/>
    <w:rsid w:val="000A019A"/>
    <w:rsid w:val="000A1100"/>
    <w:rsid w:val="000A3F4F"/>
    <w:rsid w:val="000C0514"/>
    <w:rsid w:val="000C13E2"/>
    <w:rsid w:val="000C37EE"/>
    <w:rsid w:val="000D0F97"/>
    <w:rsid w:val="000D3CF4"/>
    <w:rsid w:val="000D3F15"/>
    <w:rsid w:val="000E1D92"/>
    <w:rsid w:val="000E288A"/>
    <w:rsid w:val="000F3987"/>
    <w:rsid w:val="000F3B8D"/>
    <w:rsid w:val="00100353"/>
    <w:rsid w:val="00110E47"/>
    <w:rsid w:val="00113D47"/>
    <w:rsid w:val="001152CB"/>
    <w:rsid w:val="001218EB"/>
    <w:rsid w:val="00130D1F"/>
    <w:rsid w:val="00145BB9"/>
    <w:rsid w:val="00146226"/>
    <w:rsid w:val="00147525"/>
    <w:rsid w:val="00151197"/>
    <w:rsid w:val="001514B3"/>
    <w:rsid w:val="001856A9"/>
    <w:rsid w:val="00186714"/>
    <w:rsid w:val="00192BB1"/>
    <w:rsid w:val="00192CEE"/>
    <w:rsid w:val="00195C75"/>
    <w:rsid w:val="001A0A21"/>
    <w:rsid w:val="001A5BF1"/>
    <w:rsid w:val="001C47F2"/>
    <w:rsid w:val="001D20C5"/>
    <w:rsid w:val="001D3C5B"/>
    <w:rsid w:val="001E0ECF"/>
    <w:rsid w:val="001F3780"/>
    <w:rsid w:val="001F393A"/>
    <w:rsid w:val="001F614A"/>
    <w:rsid w:val="002050AF"/>
    <w:rsid w:val="00207C1A"/>
    <w:rsid w:val="002146D1"/>
    <w:rsid w:val="002504B6"/>
    <w:rsid w:val="002515DD"/>
    <w:rsid w:val="00272D6E"/>
    <w:rsid w:val="00277009"/>
    <w:rsid w:val="002952B2"/>
    <w:rsid w:val="002A12AB"/>
    <w:rsid w:val="002A1BAA"/>
    <w:rsid w:val="002A4A6D"/>
    <w:rsid w:val="002B0A31"/>
    <w:rsid w:val="002B5154"/>
    <w:rsid w:val="002B6D50"/>
    <w:rsid w:val="002C1D2F"/>
    <w:rsid w:val="002C3260"/>
    <w:rsid w:val="002C6ABC"/>
    <w:rsid w:val="002D13EF"/>
    <w:rsid w:val="002D38F5"/>
    <w:rsid w:val="002E0884"/>
    <w:rsid w:val="002F3B17"/>
    <w:rsid w:val="002F4D85"/>
    <w:rsid w:val="003001C7"/>
    <w:rsid w:val="00311360"/>
    <w:rsid w:val="0032246C"/>
    <w:rsid w:val="003239D3"/>
    <w:rsid w:val="0034133A"/>
    <w:rsid w:val="00363AF7"/>
    <w:rsid w:val="00375D3A"/>
    <w:rsid w:val="003B3189"/>
    <w:rsid w:val="003D34D9"/>
    <w:rsid w:val="003D4320"/>
    <w:rsid w:val="0040627C"/>
    <w:rsid w:val="00407CA0"/>
    <w:rsid w:val="004134E3"/>
    <w:rsid w:val="0043542E"/>
    <w:rsid w:val="0043662C"/>
    <w:rsid w:val="00456044"/>
    <w:rsid w:val="00481194"/>
    <w:rsid w:val="00482DC1"/>
    <w:rsid w:val="0048604A"/>
    <w:rsid w:val="004921B0"/>
    <w:rsid w:val="00494B02"/>
    <w:rsid w:val="00495BA5"/>
    <w:rsid w:val="004A18F5"/>
    <w:rsid w:val="004B76BC"/>
    <w:rsid w:val="004C17E5"/>
    <w:rsid w:val="004C1E77"/>
    <w:rsid w:val="004D588A"/>
    <w:rsid w:val="004E5385"/>
    <w:rsid w:val="00507569"/>
    <w:rsid w:val="00507572"/>
    <w:rsid w:val="00507FD2"/>
    <w:rsid w:val="005246C9"/>
    <w:rsid w:val="005372BB"/>
    <w:rsid w:val="00537E6B"/>
    <w:rsid w:val="00563602"/>
    <w:rsid w:val="00565A99"/>
    <w:rsid w:val="005877C9"/>
    <w:rsid w:val="005B1A5F"/>
    <w:rsid w:val="005B2B6D"/>
    <w:rsid w:val="005B3475"/>
    <w:rsid w:val="005B6BE5"/>
    <w:rsid w:val="005D27D4"/>
    <w:rsid w:val="005D507B"/>
    <w:rsid w:val="005D6FAB"/>
    <w:rsid w:val="005D7D66"/>
    <w:rsid w:val="005F104B"/>
    <w:rsid w:val="005F4C5C"/>
    <w:rsid w:val="006139C2"/>
    <w:rsid w:val="00651A08"/>
    <w:rsid w:val="00661479"/>
    <w:rsid w:val="0067777E"/>
    <w:rsid w:val="00677C4D"/>
    <w:rsid w:val="0068527C"/>
    <w:rsid w:val="006A6112"/>
    <w:rsid w:val="006B5908"/>
    <w:rsid w:val="006E555B"/>
    <w:rsid w:val="007105D6"/>
    <w:rsid w:val="00716889"/>
    <w:rsid w:val="00723865"/>
    <w:rsid w:val="0072597D"/>
    <w:rsid w:val="00730CBF"/>
    <w:rsid w:val="00736B27"/>
    <w:rsid w:val="00736BB2"/>
    <w:rsid w:val="0074108D"/>
    <w:rsid w:val="00764BF9"/>
    <w:rsid w:val="00773572"/>
    <w:rsid w:val="00780156"/>
    <w:rsid w:val="00782A8F"/>
    <w:rsid w:val="00784858"/>
    <w:rsid w:val="00784F71"/>
    <w:rsid w:val="007928C4"/>
    <w:rsid w:val="00793F74"/>
    <w:rsid w:val="00794916"/>
    <w:rsid w:val="007A3B5F"/>
    <w:rsid w:val="007B050F"/>
    <w:rsid w:val="007C4478"/>
    <w:rsid w:val="007C4552"/>
    <w:rsid w:val="007D39A5"/>
    <w:rsid w:val="007E0D47"/>
    <w:rsid w:val="007F4CC8"/>
    <w:rsid w:val="0080445A"/>
    <w:rsid w:val="0081495E"/>
    <w:rsid w:val="008154D5"/>
    <w:rsid w:val="008252C0"/>
    <w:rsid w:val="0082569E"/>
    <w:rsid w:val="008264B2"/>
    <w:rsid w:val="008275AC"/>
    <w:rsid w:val="008316DC"/>
    <w:rsid w:val="00835ECF"/>
    <w:rsid w:val="00856978"/>
    <w:rsid w:val="00861D7B"/>
    <w:rsid w:val="00865D19"/>
    <w:rsid w:val="008733C6"/>
    <w:rsid w:val="00873BE8"/>
    <w:rsid w:val="00882C34"/>
    <w:rsid w:val="008842C1"/>
    <w:rsid w:val="00884DD1"/>
    <w:rsid w:val="008958CA"/>
    <w:rsid w:val="008B055F"/>
    <w:rsid w:val="008B748C"/>
    <w:rsid w:val="008C0C6A"/>
    <w:rsid w:val="008C7896"/>
    <w:rsid w:val="008D30E8"/>
    <w:rsid w:val="008E0899"/>
    <w:rsid w:val="008F4C99"/>
    <w:rsid w:val="008F5A86"/>
    <w:rsid w:val="00907AFA"/>
    <w:rsid w:val="0092175E"/>
    <w:rsid w:val="009271BB"/>
    <w:rsid w:val="0093126D"/>
    <w:rsid w:val="00933F4F"/>
    <w:rsid w:val="009537F8"/>
    <w:rsid w:val="00957C4C"/>
    <w:rsid w:val="00971BF6"/>
    <w:rsid w:val="009851E5"/>
    <w:rsid w:val="009A00BF"/>
    <w:rsid w:val="009C520E"/>
    <w:rsid w:val="009D6986"/>
    <w:rsid w:val="009E6C20"/>
    <w:rsid w:val="00A179AC"/>
    <w:rsid w:val="00A22AB1"/>
    <w:rsid w:val="00A24147"/>
    <w:rsid w:val="00A34429"/>
    <w:rsid w:val="00A4269E"/>
    <w:rsid w:val="00A50F51"/>
    <w:rsid w:val="00A708DB"/>
    <w:rsid w:val="00A71CB0"/>
    <w:rsid w:val="00A7384C"/>
    <w:rsid w:val="00A823C9"/>
    <w:rsid w:val="00A85A7F"/>
    <w:rsid w:val="00A85ED7"/>
    <w:rsid w:val="00A96F4B"/>
    <w:rsid w:val="00AD35DF"/>
    <w:rsid w:val="00AD61DD"/>
    <w:rsid w:val="00AF1341"/>
    <w:rsid w:val="00B00996"/>
    <w:rsid w:val="00B00CFA"/>
    <w:rsid w:val="00B020A7"/>
    <w:rsid w:val="00B21596"/>
    <w:rsid w:val="00B243FA"/>
    <w:rsid w:val="00B33062"/>
    <w:rsid w:val="00B356C0"/>
    <w:rsid w:val="00B36D55"/>
    <w:rsid w:val="00B711F3"/>
    <w:rsid w:val="00B832D9"/>
    <w:rsid w:val="00B85AA9"/>
    <w:rsid w:val="00B9590A"/>
    <w:rsid w:val="00BB0744"/>
    <w:rsid w:val="00BB5B55"/>
    <w:rsid w:val="00BC1524"/>
    <w:rsid w:val="00BD2932"/>
    <w:rsid w:val="00BD57BB"/>
    <w:rsid w:val="00BE6085"/>
    <w:rsid w:val="00BF1D0D"/>
    <w:rsid w:val="00BF6004"/>
    <w:rsid w:val="00C01C45"/>
    <w:rsid w:val="00C0642F"/>
    <w:rsid w:val="00C126FD"/>
    <w:rsid w:val="00C22E5B"/>
    <w:rsid w:val="00C5743E"/>
    <w:rsid w:val="00C65BF3"/>
    <w:rsid w:val="00C70E92"/>
    <w:rsid w:val="00C73293"/>
    <w:rsid w:val="00C74767"/>
    <w:rsid w:val="00C75F01"/>
    <w:rsid w:val="00C85C89"/>
    <w:rsid w:val="00C8721D"/>
    <w:rsid w:val="00C90119"/>
    <w:rsid w:val="00C91A70"/>
    <w:rsid w:val="00C93589"/>
    <w:rsid w:val="00CA0630"/>
    <w:rsid w:val="00CA1995"/>
    <w:rsid w:val="00CC6F6E"/>
    <w:rsid w:val="00CE14B7"/>
    <w:rsid w:val="00CE3D28"/>
    <w:rsid w:val="00D00E4B"/>
    <w:rsid w:val="00D037DC"/>
    <w:rsid w:val="00D07278"/>
    <w:rsid w:val="00D16963"/>
    <w:rsid w:val="00D2527B"/>
    <w:rsid w:val="00D3069A"/>
    <w:rsid w:val="00D56F41"/>
    <w:rsid w:val="00D9681E"/>
    <w:rsid w:val="00DB12D4"/>
    <w:rsid w:val="00DB2700"/>
    <w:rsid w:val="00DB4312"/>
    <w:rsid w:val="00DC65C1"/>
    <w:rsid w:val="00DC6B58"/>
    <w:rsid w:val="00DD006B"/>
    <w:rsid w:val="00DD0C2F"/>
    <w:rsid w:val="00DD2E2B"/>
    <w:rsid w:val="00DE4981"/>
    <w:rsid w:val="00DE4EA6"/>
    <w:rsid w:val="00DE4FE0"/>
    <w:rsid w:val="00DE62AF"/>
    <w:rsid w:val="00DF6F47"/>
    <w:rsid w:val="00E03054"/>
    <w:rsid w:val="00E1060C"/>
    <w:rsid w:val="00E106AD"/>
    <w:rsid w:val="00E213F3"/>
    <w:rsid w:val="00E37621"/>
    <w:rsid w:val="00E438C2"/>
    <w:rsid w:val="00E5244E"/>
    <w:rsid w:val="00E537DE"/>
    <w:rsid w:val="00E71205"/>
    <w:rsid w:val="00E721E9"/>
    <w:rsid w:val="00E74E1E"/>
    <w:rsid w:val="00E861D4"/>
    <w:rsid w:val="00E864A6"/>
    <w:rsid w:val="00E9091B"/>
    <w:rsid w:val="00E92523"/>
    <w:rsid w:val="00EB217C"/>
    <w:rsid w:val="00EB4D34"/>
    <w:rsid w:val="00EB7660"/>
    <w:rsid w:val="00ED165D"/>
    <w:rsid w:val="00ED3FB8"/>
    <w:rsid w:val="00EF3875"/>
    <w:rsid w:val="00F07713"/>
    <w:rsid w:val="00F16EFA"/>
    <w:rsid w:val="00F2247E"/>
    <w:rsid w:val="00F241FB"/>
    <w:rsid w:val="00F2478A"/>
    <w:rsid w:val="00F2638B"/>
    <w:rsid w:val="00F33A51"/>
    <w:rsid w:val="00F35D52"/>
    <w:rsid w:val="00F4198C"/>
    <w:rsid w:val="00F4670E"/>
    <w:rsid w:val="00F633DF"/>
    <w:rsid w:val="00F668AD"/>
    <w:rsid w:val="00F81E22"/>
    <w:rsid w:val="00FA45BC"/>
    <w:rsid w:val="00FA5EBA"/>
    <w:rsid w:val="00FB0527"/>
    <w:rsid w:val="00FB097F"/>
    <w:rsid w:val="00FC485D"/>
    <w:rsid w:val="00FD065D"/>
    <w:rsid w:val="00FD77BA"/>
    <w:rsid w:val="00FD7DC4"/>
    <w:rsid w:val="00FF109D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12110E"/>
  <w15:chartTrackingRefBased/>
  <w15:docId w15:val="{3984883E-0D5D-4D0D-9E5B-BA709BA7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7D4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libri" w:eastAsia="Calibri" w:hAnsi="Calibri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94B02"/>
    <w:pPr>
      <w:keepNext/>
      <w:spacing w:before="240" w:after="60"/>
      <w:outlineLvl w:val="2"/>
    </w:pPr>
    <w:rPr>
      <w:rFonts w:ascii="Cambria" w:eastAsia="Calibri" w:hAnsi="Cambria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alibri" w:eastAsia="Calibri" w:hAnsi="Calibri" w:cs="Arial"/>
      <w:b/>
      <w:bCs/>
      <w:sz w:val="32"/>
      <w:szCs w:val="32"/>
    </w:rPr>
  </w:style>
  <w:style w:type="paragraph" w:styleId="BodyText">
    <w:name w:val="Body Text"/>
    <w:basedOn w:val="Normal"/>
    <w:rPr>
      <w:rFonts w:ascii="Calibri" w:eastAsia="Calibri" w:hAnsi="Calibri" w:cs="Arial"/>
      <w:b/>
      <w:bCs/>
    </w:rPr>
  </w:style>
  <w:style w:type="paragraph" w:styleId="BodyText2">
    <w:name w:val="Body Text 2"/>
    <w:basedOn w:val="Normal"/>
    <w:rPr>
      <w:rFonts w:ascii="Calibri" w:eastAsia="Calibri" w:hAnsi="Calibri" w:cs="Arial"/>
      <w:b/>
      <w:bCs/>
      <w:sz w:val="24"/>
      <w:szCs w:val="24"/>
    </w:rPr>
  </w:style>
  <w:style w:type="character" w:styleId="Hyperlink">
    <w:name w:val="Hyperlink"/>
    <w:rsid w:val="009851E5"/>
    <w:rPr>
      <w:color w:val="0000FF"/>
      <w:u w:val="single"/>
    </w:rPr>
  </w:style>
  <w:style w:type="paragraph" w:customStyle="1" w:styleId="Default">
    <w:name w:val="Default"/>
    <w:rsid w:val="001475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494B02"/>
    <w:rPr>
      <w:rFonts w:ascii="Cambria" w:eastAsia="Times New Roman" w:hAnsi="Cambria" w:cs="Times New Roman"/>
      <w:b/>
      <w:bCs/>
      <w:sz w:val="26"/>
      <w:szCs w:val="26"/>
      <w:lang w:eastAsia="he-IL"/>
    </w:rPr>
  </w:style>
  <w:style w:type="paragraph" w:styleId="BalloonText">
    <w:name w:val="Balloon Text"/>
    <w:basedOn w:val="Normal"/>
    <w:link w:val="BalloonTextChar"/>
    <w:rsid w:val="00020592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0592"/>
    <w:rPr>
      <w:rFonts w:ascii="Tahoma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rsid w:val="002504B6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HeaderChar">
    <w:name w:val="Header Char"/>
    <w:link w:val="Header"/>
    <w:uiPriority w:val="99"/>
    <w:rsid w:val="002504B6"/>
    <w:rPr>
      <w:rFonts w:cs="David"/>
      <w:sz w:val="26"/>
      <w:szCs w:val="26"/>
      <w:lang w:eastAsia="he-IL"/>
    </w:rPr>
  </w:style>
  <w:style w:type="paragraph" w:styleId="Footer">
    <w:name w:val="footer"/>
    <w:basedOn w:val="Normal"/>
    <w:link w:val="FooterChar"/>
    <w:uiPriority w:val="99"/>
    <w:rsid w:val="002504B6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FooterChar">
    <w:name w:val="Footer Char"/>
    <w:link w:val="Footer"/>
    <w:uiPriority w:val="99"/>
    <w:rsid w:val="002504B6"/>
    <w:rPr>
      <w:rFonts w:cs="David"/>
      <w:sz w:val="26"/>
      <w:szCs w:val="26"/>
      <w:lang w:eastAsia="he-IL"/>
    </w:rPr>
  </w:style>
  <w:style w:type="paragraph" w:styleId="ListParagraph">
    <w:name w:val="List Paragraph"/>
    <w:basedOn w:val="Normal"/>
    <w:uiPriority w:val="34"/>
    <w:qFormat/>
    <w:rsid w:val="00E213F3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rsid w:val="007A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476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7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7698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7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7698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5F4C5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BGU.CSOC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.bgu.ac.il/en/csoc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ohamst@bgu.ac.il" TargetMode="External"/><Relationship Id="rId1" Type="http://schemas.openxmlformats.org/officeDocument/2006/relationships/hyperlink" Target="mailto:rayaED@bgu.ac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in.bgu.ac.il/en/csoc/Side%20Banners/csoc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yaed\Documents\Custom%20Office%20Templates\CSoC%20-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4270ED4400BA444B29974B6661BBE50" ma:contentTypeVersion="1" ma:contentTypeDescription="צור מסמך חדש." ma:contentTypeScope="" ma:versionID="61d536ddede9ad586cc34275fac886dd">
  <xsd:schema xmlns:xsd="http://www.w3.org/2001/XMLSchema" xmlns:xs="http://www.w3.org/2001/XMLSchema" xmlns:p="http://schemas.microsoft.com/office/2006/metadata/properties" xmlns:ns3="3fd1f8e8-d4eb-4fa9-9edf-90e13be718c2" targetNamespace="http://schemas.microsoft.com/office/2006/metadata/properties" ma:root="true" ma:fieldsID="fcf5f696791075dac38d5be3b5074702" ns3:_=""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D7F36-7312-47A8-9D36-DF62CD988C5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A52D36-CD1F-4C36-BBDA-9DCCB281D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D60D8-F6C2-460A-B199-B67617E25C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A71EB0-3139-4CB4-8870-DA18F58B30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CSoC - ENGLISH</Template>
  <TotalTime>2</TotalTime>
  <Pages>1</Pages>
  <Words>446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אוניברסיטת בן-גוריון בנגב</vt:lpstr>
      <vt:lpstr>אוניברסיטת בן-גוריון בנגב</vt:lpstr>
    </vt:vector>
  </TitlesOfParts>
  <Company>BGU</Company>
  <LinksUpToDate>false</LinksUpToDate>
  <CharactersWithSpaces>2674</CharactersWithSpaces>
  <SharedDoc>false</SharedDoc>
  <HLinks>
    <vt:vector size="18" baseType="variant">
      <vt:variant>
        <vt:i4>7274507</vt:i4>
      </vt:variant>
      <vt:variant>
        <vt:i4>3</vt:i4>
      </vt:variant>
      <vt:variant>
        <vt:i4>0</vt:i4>
      </vt:variant>
      <vt:variant>
        <vt:i4>5</vt:i4>
      </vt:variant>
      <vt:variant>
        <vt:lpwstr>mailto:shohamst@bgu.ac.il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mailto:rayaED@bgu.ac.il</vt:lpwstr>
      </vt:variant>
      <vt:variant>
        <vt:lpwstr/>
      </vt:variant>
      <vt:variant>
        <vt:i4>1507340</vt:i4>
      </vt:variant>
      <vt:variant>
        <vt:i4>-1</vt:i4>
      </vt:variant>
      <vt:variant>
        <vt:i4>2049</vt:i4>
      </vt:variant>
      <vt:variant>
        <vt:i4>1</vt:i4>
      </vt:variant>
      <vt:variant>
        <vt:lpwstr>http://in.bgu.ac.il/en/csoc/Side Banners/csoc.png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אוניברסיטת בן-גוריון בנגב</dc:title>
  <dc:subject/>
  <dc:creator>Raya</dc:creator>
  <cp:keywords/>
  <cp:lastModifiedBy>רעיה אבן דוד</cp:lastModifiedBy>
  <cp:revision>2</cp:revision>
  <cp:lastPrinted>2019-01-17T07:42:00Z</cp:lastPrinted>
  <dcterms:created xsi:type="dcterms:W3CDTF">2022-10-20T06:16:00Z</dcterms:created>
  <dcterms:modified xsi:type="dcterms:W3CDTF">2022-10-20T06:16:00Z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5RW434VQ3H3S-37-43</vt:lpwstr>
  </property>
  <property fmtid="{D5CDD505-2E9C-101B-9397-08002B2CF9AE}" pid="3" name="_dlc_DocIdItemGuid">
    <vt:lpwstr>2955968f-d1fa-4dfc-ac15-1453c52bcddc</vt:lpwstr>
  </property>
  <property fmtid="{D5CDD505-2E9C-101B-9397-08002B2CF9AE}" pid="4" name="_dlc_DocIdUrl">
    <vt:lpwstr>http://in.bgu.ac.il/acadsec/_layouts/DocIdRedir.aspx?ID=5RW434VQ3H3S-37-43, 5RW434VQ3H3S-37-43</vt:lpwstr>
  </property>
</Properties>
</file>