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85E9" w14:textId="77777777" w:rsidR="003565BE" w:rsidRPr="0064763E" w:rsidRDefault="003565BE" w:rsidP="003565BE">
      <w:pPr>
        <w:pBdr>
          <w:top w:val="single" w:sz="4" w:space="1" w:color="auto"/>
          <w:bottom w:val="single" w:sz="4" w:space="1" w:color="auto"/>
        </w:pBdr>
        <w:shd w:val="clear" w:color="auto" w:fill="595959" w:themeFill="text1" w:themeFillTint="A6"/>
        <w:spacing w:after="0"/>
        <w:rPr>
          <w:rFonts w:cs="Arial"/>
          <w:b/>
          <w:bCs/>
          <w:color w:val="FFFFFF" w:themeColor="background1"/>
          <w:rtl/>
        </w:rPr>
      </w:pPr>
      <w:bookmarkStart w:id="0" w:name="_GoBack"/>
      <w:bookmarkEnd w:id="0"/>
      <w:r>
        <w:rPr>
          <w:rFonts w:cs="Arial"/>
          <w:b/>
          <w:bCs/>
          <w:color w:val="FFFFFF" w:themeColor="background1"/>
        </w:rPr>
        <w:t>Hydrometeorology</w:t>
      </w:r>
      <w:r>
        <w:rPr>
          <w:rFonts w:cs="Arial"/>
          <w:b/>
          <w:bCs/>
          <w:color w:val="FFFFFF" w:themeColor="background1"/>
        </w:rPr>
        <w:tab/>
      </w:r>
      <w:r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="00E616E3">
        <w:rPr>
          <w:rFonts w:cs="Arial"/>
          <w:b/>
          <w:bCs/>
          <w:color w:val="FFFFFF" w:themeColor="background1"/>
        </w:rPr>
        <w:tab/>
      </w:r>
      <w:r w:rsidRPr="003565BE">
        <w:rPr>
          <w:rFonts w:cs="Arial"/>
          <w:color w:val="FFFFFF" w:themeColor="background1"/>
        </w:rPr>
        <w:t>3 credit points</w:t>
      </w:r>
    </w:p>
    <w:p w14:paraId="4B1AFC02" w14:textId="001A89D6" w:rsidR="003565BE" w:rsidRPr="0064763E" w:rsidRDefault="003565BE" w:rsidP="003565BE">
      <w:pPr>
        <w:pBdr>
          <w:top w:val="single" w:sz="4" w:space="1" w:color="auto"/>
          <w:bottom w:val="single" w:sz="4" w:space="1" w:color="auto"/>
        </w:pBdr>
        <w:shd w:val="clear" w:color="auto" w:fill="595959" w:themeFill="text1" w:themeFillTint="A6"/>
        <w:spacing w:after="0"/>
        <w:rPr>
          <w:rFonts w:cs="Arial"/>
          <w:color w:val="FFFFFF" w:themeColor="background1"/>
          <w:rtl/>
        </w:rPr>
      </w:pPr>
      <w:r>
        <w:rPr>
          <w:rFonts w:cs="Arial"/>
          <w:color w:val="FFFFFF" w:themeColor="background1"/>
        </w:rPr>
        <w:t>Dr. Nurit Agam</w:t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</w:r>
      <w:r w:rsidR="00177E12">
        <w:rPr>
          <w:rFonts w:cs="Arial"/>
          <w:color w:val="FFFFFF" w:themeColor="background1"/>
        </w:rPr>
        <w:tab/>
        <w:t xml:space="preserve">      Course # 00125030</w:t>
      </w:r>
    </w:p>
    <w:p w14:paraId="6542B3B0" w14:textId="77777777" w:rsidR="003565BE" w:rsidRPr="00177E12" w:rsidRDefault="003565BE" w:rsidP="003565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F45468" w14:textId="05EE495A" w:rsidR="003565BE" w:rsidRPr="00177E12" w:rsidRDefault="003565BE" w:rsidP="00B2102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77E12">
        <w:rPr>
          <w:rFonts w:cstheme="minorHAnsi"/>
        </w:rPr>
        <w:t>During this course students will</w:t>
      </w:r>
      <w:r w:rsidR="00177E12" w:rsidRPr="00177E12">
        <w:rPr>
          <w:rFonts w:cstheme="minorHAnsi"/>
        </w:rPr>
        <w:t xml:space="preserve"> be exposed to the physical processes governing the micrometeorology and microclimate of ecosystems, through the gain of understanding the surface water and energy balances. </w:t>
      </w:r>
      <w:r w:rsidRPr="00177E12">
        <w:rPr>
          <w:rFonts w:cstheme="minorHAnsi"/>
        </w:rPr>
        <w:t xml:space="preserve"> The energy cycle</w:t>
      </w:r>
      <w:r w:rsidR="00B21020" w:rsidRPr="00177E12">
        <w:rPr>
          <w:rFonts w:cstheme="minorHAnsi"/>
        </w:rPr>
        <w:t>,</w:t>
      </w:r>
      <w:r w:rsidRPr="00177E12">
        <w:rPr>
          <w:rFonts w:cstheme="minorHAnsi"/>
        </w:rPr>
        <w:t xml:space="preserve"> its role, </w:t>
      </w:r>
      <w:r w:rsidR="00B21020" w:rsidRPr="00177E12">
        <w:rPr>
          <w:rFonts w:cstheme="minorHAnsi"/>
        </w:rPr>
        <w:t xml:space="preserve">and </w:t>
      </w:r>
      <w:r w:rsidRPr="00177E12">
        <w:rPr>
          <w:rFonts w:cstheme="minorHAnsi"/>
        </w:rPr>
        <w:t xml:space="preserve">feedback </w:t>
      </w:r>
      <w:r w:rsidR="00B21020" w:rsidRPr="00177E12">
        <w:rPr>
          <w:rFonts w:cstheme="minorHAnsi"/>
        </w:rPr>
        <w:t xml:space="preserve">processes </w:t>
      </w:r>
      <w:r w:rsidRPr="00177E12">
        <w:rPr>
          <w:rFonts w:cstheme="minorHAnsi"/>
        </w:rPr>
        <w:t>via the water cycle, will be addressed</w:t>
      </w:r>
      <w:r w:rsidR="005E7B58" w:rsidRPr="00177E12">
        <w:rPr>
          <w:rFonts w:cstheme="minorHAnsi"/>
        </w:rPr>
        <w:t>.</w:t>
      </w:r>
      <w:r w:rsidRPr="00177E12">
        <w:rPr>
          <w:rFonts w:cstheme="minorHAnsi"/>
        </w:rPr>
        <w:t xml:space="preserve"> </w:t>
      </w:r>
      <w:r w:rsidR="005E7B58" w:rsidRPr="00177E12">
        <w:rPr>
          <w:rFonts w:cstheme="minorHAnsi"/>
        </w:rPr>
        <w:t xml:space="preserve"> A</w:t>
      </w:r>
      <w:r w:rsidRPr="00177E12">
        <w:rPr>
          <w:rFonts w:cstheme="minorHAnsi"/>
        </w:rPr>
        <w:t>tmospheric boundary layer dynamics</w:t>
      </w:r>
      <w:r w:rsidR="005E7B58" w:rsidRPr="00177E12">
        <w:rPr>
          <w:rFonts w:cstheme="minorHAnsi"/>
        </w:rPr>
        <w:t xml:space="preserve"> </w:t>
      </w:r>
      <w:r w:rsidRPr="00177E12">
        <w:rPr>
          <w:rFonts w:cstheme="minorHAnsi"/>
        </w:rPr>
        <w:t>and turbulent transfer</w:t>
      </w:r>
      <w:r w:rsidR="00B21020" w:rsidRPr="00177E12">
        <w:rPr>
          <w:rFonts w:cstheme="minorHAnsi"/>
        </w:rPr>
        <w:t>,</w:t>
      </w:r>
      <w:r w:rsidRPr="00177E12">
        <w:rPr>
          <w:rFonts w:cstheme="minorHAnsi"/>
        </w:rPr>
        <w:t xml:space="preserve"> </w:t>
      </w:r>
      <w:r w:rsidR="00B21020" w:rsidRPr="00177E12">
        <w:rPr>
          <w:rFonts w:cstheme="minorHAnsi"/>
        </w:rPr>
        <w:t xml:space="preserve">which </w:t>
      </w:r>
      <w:r w:rsidRPr="00177E12">
        <w:rPr>
          <w:rFonts w:cstheme="minorHAnsi"/>
        </w:rPr>
        <w:t>play a primary role in feedbacks in the exchange of</w:t>
      </w:r>
      <w:r w:rsidR="005E7B58" w:rsidRPr="00177E12">
        <w:rPr>
          <w:rFonts w:cstheme="minorHAnsi"/>
        </w:rPr>
        <w:t xml:space="preserve"> </w:t>
      </w:r>
      <w:r w:rsidRPr="00177E12">
        <w:rPr>
          <w:rFonts w:cstheme="minorHAnsi"/>
        </w:rPr>
        <w:t>water and energy between land and near surface atmosphere</w:t>
      </w:r>
      <w:r w:rsidR="00B21020" w:rsidRPr="00177E12">
        <w:rPr>
          <w:rFonts w:cstheme="minorHAnsi"/>
        </w:rPr>
        <w:t>,</w:t>
      </w:r>
      <w:r w:rsidR="005E7B58" w:rsidRPr="00177E12">
        <w:rPr>
          <w:rFonts w:cstheme="minorHAnsi"/>
        </w:rPr>
        <w:t xml:space="preserve"> will be discussed</w:t>
      </w:r>
      <w:r w:rsidRPr="00177E12">
        <w:rPr>
          <w:rFonts w:cstheme="minorHAnsi"/>
        </w:rPr>
        <w:t>.</w:t>
      </w:r>
    </w:p>
    <w:p w14:paraId="1A570216" w14:textId="77777777" w:rsidR="005E7B58" w:rsidRDefault="005E7B58" w:rsidP="005E7B58">
      <w:pPr>
        <w:autoSpaceDE w:val="0"/>
        <w:autoSpaceDN w:val="0"/>
        <w:adjustRightInd w:val="0"/>
        <w:spacing w:after="0"/>
        <w:jc w:val="both"/>
      </w:pPr>
    </w:p>
    <w:p w14:paraId="16F7B37A" w14:textId="77777777" w:rsidR="005E7B58" w:rsidRPr="005E7B58" w:rsidRDefault="005E7B58" w:rsidP="00177E12">
      <w:pPr>
        <w:autoSpaceDE w:val="0"/>
        <w:autoSpaceDN w:val="0"/>
        <w:adjustRightInd w:val="0"/>
        <w:jc w:val="both"/>
        <w:rPr>
          <w:b/>
          <w:bCs/>
        </w:rPr>
      </w:pPr>
      <w:r w:rsidRPr="005E7B58">
        <w:rPr>
          <w:b/>
          <w:bCs/>
        </w:rPr>
        <w:t>Student evaluation:</w:t>
      </w:r>
    </w:p>
    <w:p w14:paraId="3332B262" w14:textId="77777777" w:rsidR="00177E12" w:rsidRPr="00177E12" w:rsidRDefault="00177E12" w:rsidP="00177E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</w:pPr>
      <w:r w:rsidRPr="00177E12">
        <w:t>Presentation – 25%</w:t>
      </w:r>
    </w:p>
    <w:p w14:paraId="3AF220EF" w14:textId="77777777" w:rsidR="00177E12" w:rsidRPr="00177E12" w:rsidRDefault="00177E12" w:rsidP="00177E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</w:pPr>
      <w:r w:rsidRPr="00177E12">
        <w:t>Exercises (5) – 35%</w:t>
      </w:r>
    </w:p>
    <w:p w14:paraId="75E647AA" w14:textId="77777777" w:rsidR="00177E12" w:rsidRPr="00177E12" w:rsidRDefault="00177E12" w:rsidP="00177E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</w:pPr>
      <w:r w:rsidRPr="00177E12">
        <w:t>Final assignment – 40%</w:t>
      </w:r>
    </w:p>
    <w:p w14:paraId="04C9ACD8" w14:textId="77777777" w:rsidR="005E7B58" w:rsidRDefault="005E7B58" w:rsidP="005E7B58">
      <w:pPr>
        <w:autoSpaceDE w:val="0"/>
        <w:autoSpaceDN w:val="0"/>
        <w:adjustRightInd w:val="0"/>
        <w:spacing w:after="0"/>
        <w:jc w:val="both"/>
      </w:pPr>
    </w:p>
    <w:p w14:paraId="47F88AB9" w14:textId="77777777" w:rsidR="005E7B58" w:rsidRPr="005E7B58" w:rsidRDefault="005E7B58" w:rsidP="0037293D">
      <w:pPr>
        <w:autoSpaceDE w:val="0"/>
        <w:autoSpaceDN w:val="0"/>
        <w:adjustRightInd w:val="0"/>
        <w:jc w:val="both"/>
        <w:rPr>
          <w:b/>
          <w:bCs/>
        </w:rPr>
      </w:pPr>
      <w:r w:rsidRPr="005E7B58">
        <w:rPr>
          <w:b/>
          <w:bCs/>
        </w:rPr>
        <w:t>Specific subjects:</w:t>
      </w:r>
    </w:p>
    <w:p w14:paraId="24EEB426" w14:textId="77777777" w:rsidR="005E7B58" w:rsidRDefault="0002375E" w:rsidP="0037293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jc w:val="both"/>
      </w:pPr>
      <w:r>
        <w:t>What is hydrometeorology and why is it important?</w:t>
      </w:r>
    </w:p>
    <w:p w14:paraId="7481E095" w14:textId="77777777" w:rsidR="0002375E" w:rsidRDefault="0002375E" w:rsidP="000237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>Solar radiation as a driver of physical and biological processes</w:t>
      </w:r>
    </w:p>
    <w:p w14:paraId="3591989C" w14:textId="77777777" w:rsid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Introduction</w:t>
      </w:r>
    </w:p>
    <w:p w14:paraId="2D98627A" w14:textId="77777777" w:rsid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Black body radiation laws</w:t>
      </w:r>
    </w:p>
    <w:p w14:paraId="4A06B8F0" w14:textId="77777777" w:rsidR="0002375E" w:rsidRP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02375E">
        <w:t xml:space="preserve">Radiation exchange for </w:t>
      </w:r>
      <w:r w:rsidRPr="0002375E">
        <w:rPr>
          <w:rFonts w:hint="cs"/>
        </w:rPr>
        <w:t>‘</w:t>
      </w:r>
      <w:r w:rsidRPr="0002375E">
        <w:t>gray</w:t>
      </w:r>
      <w:r w:rsidRPr="0002375E">
        <w:rPr>
          <w:rFonts w:hint="cs"/>
        </w:rPr>
        <w:t>’</w:t>
      </w:r>
      <w:r w:rsidRPr="0002375E">
        <w:t xml:space="preserve"> surfaces</w:t>
      </w:r>
    </w:p>
    <w:p w14:paraId="7EF1A820" w14:textId="77777777" w:rsid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02375E">
        <w:t>Solar radiation at the top of atmosphere</w:t>
      </w:r>
      <w:r>
        <w:t xml:space="preserve"> </w:t>
      </w:r>
    </w:p>
    <w:p w14:paraId="17CBC4C5" w14:textId="77777777" w:rsidR="0002375E" w:rsidRPr="005E7B58" w:rsidRDefault="0002375E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31"/>
        <w:contextualSpacing w:val="0"/>
        <w:jc w:val="both"/>
      </w:pPr>
      <w:r w:rsidRPr="0002375E">
        <w:t>Atmospheric attenuation of solar radiation</w:t>
      </w:r>
    </w:p>
    <w:p w14:paraId="7F4877D4" w14:textId="77777777" w:rsidR="003565BE" w:rsidRDefault="0002375E" w:rsidP="000237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 xml:space="preserve">Radiation balance </w:t>
      </w:r>
    </w:p>
    <w:p w14:paraId="1A29FE0C" w14:textId="77777777" w:rsidR="0002375E" w:rsidRP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02375E">
        <w:t>Actual solar radiation at the ground</w:t>
      </w:r>
    </w:p>
    <w:p w14:paraId="5803D9EA" w14:textId="77777777" w:rsidR="0002375E" w:rsidRP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02375E">
        <w:t>Longwave radiation</w:t>
      </w:r>
    </w:p>
    <w:p w14:paraId="26CBD1C2" w14:textId="77777777" w:rsidR="0002375E" w:rsidRPr="0002375E" w:rsidRDefault="0002375E" w:rsidP="0002375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02375E">
        <w:t>Net radiation at the surface</w:t>
      </w:r>
    </w:p>
    <w:p w14:paraId="743ABA98" w14:textId="77777777" w:rsidR="0002375E" w:rsidRDefault="0002375E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31"/>
        <w:contextualSpacing w:val="0"/>
        <w:jc w:val="both"/>
      </w:pPr>
      <w:r w:rsidRPr="0002375E">
        <w:t>Measuring radiation</w:t>
      </w:r>
      <w:r>
        <w:t xml:space="preserve"> – methods and instrumentation</w:t>
      </w:r>
    </w:p>
    <w:p w14:paraId="0C153F20" w14:textId="77777777" w:rsidR="0002375E" w:rsidRDefault="00BC351B" w:rsidP="00EC51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 w:rsidRPr="00BC351B">
        <w:t xml:space="preserve">Soil </w:t>
      </w:r>
      <w:r>
        <w:t>t</w:t>
      </w:r>
      <w:r w:rsidRPr="00BC351B">
        <w:t xml:space="preserve">emperature and </w:t>
      </w:r>
      <w:r>
        <w:t>h</w:t>
      </w:r>
      <w:r w:rsidRPr="00BC351B">
        <w:t xml:space="preserve">eat </w:t>
      </w:r>
      <w:r>
        <w:t>f</w:t>
      </w:r>
      <w:r w:rsidRPr="00BC351B">
        <w:t>lux</w:t>
      </w:r>
    </w:p>
    <w:p w14:paraId="2623634D" w14:textId="77777777" w:rsidR="00BC351B" w:rsidRPr="00BC351B" w:rsidRDefault="00BC351B" w:rsidP="00BC351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BC351B">
        <w:t>Introduction</w:t>
      </w:r>
    </w:p>
    <w:p w14:paraId="36A54F0D" w14:textId="77777777" w:rsidR="00BC351B" w:rsidRPr="00BC351B" w:rsidRDefault="00BC351B" w:rsidP="00BC351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BC351B">
        <w:t>Soil surface temperature</w:t>
      </w:r>
    </w:p>
    <w:p w14:paraId="7ED66389" w14:textId="77777777" w:rsidR="00BC351B" w:rsidRPr="00BC351B" w:rsidRDefault="00BC351B" w:rsidP="00BC351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BC351B">
        <w:t>Subsurface soil temperatures</w:t>
      </w:r>
    </w:p>
    <w:p w14:paraId="01B5795B" w14:textId="77777777" w:rsidR="00BC351B" w:rsidRDefault="00BC351B" w:rsidP="00EC51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</w:pPr>
      <w:r w:rsidRPr="00BC351B">
        <w:t>Thermal properties of soil</w:t>
      </w:r>
      <w:r>
        <w:t xml:space="preserve"> (s</w:t>
      </w:r>
      <w:r w:rsidRPr="00EC5119">
        <w:t>pecific heat, heat capacity, thermal conductivity, Thermal diffusivity)</w:t>
      </w:r>
    </w:p>
    <w:p w14:paraId="29FD51D4" w14:textId="77777777" w:rsidR="00EC5119" w:rsidRDefault="00EC5119" w:rsidP="00EC51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</w:pPr>
      <w:r>
        <w:t>Computation of soil heat flux</w:t>
      </w:r>
    </w:p>
    <w:p w14:paraId="76390D94" w14:textId="77777777" w:rsidR="00EC5119" w:rsidRDefault="00EC5119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31"/>
        <w:contextualSpacing w:val="0"/>
        <w:jc w:val="both"/>
      </w:pPr>
      <w:r>
        <w:t>Measurement of soil heat flux</w:t>
      </w:r>
    </w:p>
    <w:p w14:paraId="05CAD643" w14:textId="77777777" w:rsidR="00EC5119" w:rsidRDefault="00EC5119" w:rsidP="00EC51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>Turbulent fluxes</w:t>
      </w:r>
    </w:p>
    <w:p w14:paraId="518A869B" w14:textId="77777777" w:rsidR="00EC5119" w:rsidRDefault="00803788" w:rsidP="00EC51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Turbulent transport in the atmosphere</w:t>
      </w:r>
    </w:p>
    <w:p w14:paraId="4A5ABFF9" w14:textId="77777777" w:rsidR="00803788" w:rsidRDefault="00803788" w:rsidP="00EC51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Sensible heat flux</w:t>
      </w:r>
    </w:p>
    <w:p w14:paraId="1683A13B" w14:textId="77777777" w:rsidR="00803788" w:rsidRDefault="00803788" w:rsidP="00EC51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Latent heat flux</w:t>
      </w:r>
    </w:p>
    <w:p w14:paraId="52CD0BE1" w14:textId="77777777" w:rsidR="00803788" w:rsidRDefault="00803788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 w:rsidRPr="00803788">
        <w:lastRenderedPageBreak/>
        <w:t>Evaporative fraction and Bowen ratio</w:t>
      </w:r>
    </w:p>
    <w:p w14:paraId="1F4DA077" w14:textId="77777777" w:rsidR="00803788" w:rsidRDefault="00803788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Penman’s equation for measuring evaporation</w:t>
      </w:r>
    </w:p>
    <w:p w14:paraId="0011B406" w14:textId="77777777" w:rsidR="00803788" w:rsidRDefault="00803788" w:rsidP="008037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Measurement methods</w:t>
      </w:r>
    </w:p>
    <w:p w14:paraId="423405E6" w14:textId="77777777" w:rsidR="001D38C4" w:rsidRDefault="001D38C4" w:rsidP="001D38C4">
      <w:pPr>
        <w:autoSpaceDE w:val="0"/>
        <w:autoSpaceDN w:val="0"/>
        <w:adjustRightInd w:val="0"/>
        <w:spacing w:after="0"/>
        <w:ind w:left="277"/>
        <w:jc w:val="both"/>
      </w:pPr>
    </w:p>
    <w:p w14:paraId="60D3197A" w14:textId="77777777" w:rsidR="00047016" w:rsidRDefault="00047016" w:rsidP="000470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>Spatial scale of flux assessments – from point to regional</w:t>
      </w:r>
    </w:p>
    <w:p w14:paraId="1D854B64" w14:textId="77777777" w:rsidR="00047016" w:rsidRDefault="00047016" w:rsidP="000470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jc w:val="both"/>
      </w:pPr>
      <w:r>
        <w:t>The relationship between soil surface temperature and evaporation</w:t>
      </w:r>
    </w:p>
    <w:p w14:paraId="1DAA0EA7" w14:textId="77777777" w:rsidR="00047016" w:rsidRDefault="00047016" w:rsidP="0037293D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431"/>
        <w:contextualSpacing w:val="0"/>
        <w:jc w:val="both"/>
      </w:pPr>
      <w:r>
        <w:t>Mapping the energy balance components</w:t>
      </w:r>
    </w:p>
    <w:p w14:paraId="2000CF8C" w14:textId="77777777" w:rsidR="00047016" w:rsidRDefault="00047016" w:rsidP="00047016">
      <w:pPr>
        <w:autoSpaceDE w:val="0"/>
        <w:autoSpaceDN w:val="0"/>
        <w:adjustRightInd w:val="0"/>
        <w:spacing w:after="0"/>
        <w:jc w:val="both"/>
      </w:pPr>
    </w:p>
    <w:p w14:paraId="5A26EE26" w14:textId="77777777" w:rsidR="00047016" w:rsidRPr="001D38C4" w:rsidRDefault="00B82CFB" w:rsidP="00047016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1D38C4">
        <w:rPr>
          <w:b/>
          <w:bCs/>
        </w:rPr>
        <w:t>References:</w:t>
      </w:r>
    </w:p>
    <w:p w14:paraId="228AFBCD" w14:textId="77777777" w:rsidR="00B82CFB" w:rsidRDefault="00B82CFB" w:rsidP="003729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</w:pPr>
      <w:proofErr w:type="spellStart"/>
      <w:r>
        <w:t>Brutseart</w:t>
      </w:r>
      <w:proofErr w:type="spellEnd"/>
      <w:r>
        <w:t xml:space="preserve">, W., 1982. </w:t>
      </w:r>
      <w:r w:rsidRPr="0037293D">
        <w:rPr>
          <w:u w:val="single"/>
        </w:rPr>
        <w:t>Evaporation into the atmosphere</w:t>
      </w:r>
      <w:r>
        <w:t xml:space="preserve">. D. </w:t>
      </w:r>
      <w:proofErr w:type="spellStart"/>
      <w:r>
        <w:t>Reidel</w:t>
      </w:r>
      <w:proofErr w:type="spellEnd"/>
      <w:r>
        <w:t xml:space="preserve"> Publishing Company, Dordrecht, Holland.</w:t>
      </w:r>
    </w:p>
    <w:p w14:paraId="48EAB2B3" w14:textId="77777777" w:rsidR="00B82CFB" w:rsidRDefault="00B82CFB" w:rsidP="003729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</w:pPr>
      <w:r>
        <w:t>Shuttleworth, W.J., 2012</w:t>
      </w:r>
      <w:r w:rsidRPr="0037293D">
        <w:t xml:space="preserve">. </w:t>
      </w:r>
      <w:r w:rsidRPr="0037293D">
        <w:rPr>
          <w:u w:val="single"/>
        </w:rPr>
        <w:t>Terrestrial Hydrometeorology</w:t>
      </w:r>
      <w:r>
        <w:t>. Wiley-Blackwell, Chichester, West Sussex, UK.</w:t>
      </w:r>
    </w:p>
    <w:p w14:paraId="6ED664F3" w14:textId="77777777" w:rsidR="00B82CFB" w:rsidRPr="005E7B58" w:rsidRDefault="00B82CFB" w:rsidP="003729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</w:pPr>
      <w:r>
        <w:t xml:space="preserve">Hillel, D., 1998. </w:t>
      </w:r>
      <w:r w:rsidRPr="0037293D">
        <w:rPr>
          <w:u w:val="single"/>
        </w:rPr>
        <w:t>Environmental Soil Physics: Fundamentals, Applications, and Environmental Considerations</w:t>
      </w:r>
      <w:r>
        <w:t>. Academic Press, San Diego.</w:t>
      </w:r>
    </w:p>
    <w:sectPr w:rsidR="00B82CFB" w:rsidRPr="005E7B58" w:rsidSect="00177E12">
      <w:pgSz w:w="12240" w:h="15840"/>
      <w:pgMar w:top="1440" w:right="118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782"/>
    <w:multiLevelType w:val="hybridMultilevel"/>
    <w:tmpl w:val="ACCA5182"/>
    <w:lvl w:ilvl="0" w:tplc="82741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4C3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209B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2F08E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20AB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025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9484D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3E3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5A04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44890E93"/>
    <w:multiLevelType w:val="hybridMultilevel"/>
    <w:tmpl w:val="BE32F342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8E6"/>
    <w:multiLevelType w:val="hybridMultilevel"/>
    <w:tmpl w:val="9814C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3A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BE"/>
    <w:rsid w:val="0002375E"/>
    <w:rsid w:val="00047016"/>
    <w:rsid w:val="001200A7"/>
    <w:rsid w:val="00177E12"/>
    <w:rsid w:val="001A7D48"/>
    <w:rsid w:val="001D38C4"/>
    <w:rsid w:val="0022322D"/>
    <w:rsid w:val="0022746F"/>
    <w:rsid w:val="0023355A"/>
    <w:rsid w:val="002D6216"/>
    <w:rsid w:val="003565BE"/>
    <w:rsid w:val="0037293D"/>
    <w:rsid w:val="005824E8"/>
    <w:rsid w:val="005E7B58"/>
    <w:rsid w:val="0068264E"/>
    <w:rsid w:val="006F423C"/>
    <w:rsid w:val="00756B55"/>
    <w:rsid w:val="00776053"/>
    <w:rsid w:val="0077672D"/>
    <w:rsid w:val="007A539D"/>
    <w:rsid w:val="007C145F"/>
    <w:rsid w:val="007D5B1F"/>
    <w:rsid w:val="00803788"/>
    <w:rsid w:val="009241DF"/>
    <w:rsid w:val="00984C5C"/>
    <w:rsid w:val="009D502F"/>
    <w:rsid w:val="00A6769D"/>
    <w:rsid w:val="00A957EB"/>
    <w:rsid w:val="00AE5A27"/>
    <w:rsid w:val="00B21020"/>
    <w:rsid w:val="00B82CFB"/>
    <w:rsid w:val="00BC351B"/>
    <w:rsid w:val="00E616E3"/>
    <w:rsid w:val="00EB6D3F"/>
    <w:rsid w:val="00EC5119"/>
    <w:rsid w:val="00F43105"/>
    <w:rsid w:val="00F64E4A"/>
    <w:rsid w:val="00FB54AB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6AC6"/>
  <w15:docId w15:val="{DF181646-8644-49FE-99CD-BE81A1D4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Nurit Agam</dc:creator>
  <cp:lastModifiedBy>אפרת אלעזר</cp:lastModifiedBy>
  <cp:revision>2</cp:revision>
  <dcterms:created xsi:type="dcterms:W3CDTF">2022-10-28T09:08:00Z</dcterms:created>
  <dcterms:modified xsi:type="dcterms:W3CDTF">2022-10-28T09:08:00Z</dcterms:modified>
</cp:coreProperties>
</file>